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6E4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  <w:t>湖南潇湘技师学院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/>
        </w:rPr>
        <w:t>部门预算</w:t>
      </w:r>
    </w:p>
    <w:p w14:paraId="7F0328E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/>
          <w:b w:val="0"/>
          <w:bCs w:val="0"/>
          <w:sz w:val="36"/>
          <w:szCs w:val="36"/>
        </w:rPr>
      </w:pPr>
    </w:p>
    <w:p w14:paraId="566D039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</w:rPr>
        <w:t>目</w:t>
      </w:r>
      <w:r>
        <w:rPr>
          <w:rFonts w:hint="eastAsia" w:ascii="黑体" w:hAnsi="黑体" w:eastAsia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 w:val="0"/>
          <w:sz w:val="36"/>
          <w:szCs w:val="36"/>
        </w:rPr>
        <w:t>录</w:t>
      </w:r>
    </w:p>
    <w:p w14:paraId="6564D88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第一部分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color w:val="2B00FF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湖南潇湘技师学院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2025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年部门预算说明</w:t>
      </w:r>
    </w:p>
    <w:p w14:paraId="5DF7A72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一、部门基本概况</w:t>
      </w:r>
    </w:p>
    <w:p w14:paraId="0507226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（一）职能职责</w:t>
      </w:r>
    </w:p>
    <w:p w14:paraId="6F68A8A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（二）机构设置</w:t>
      </w:r>
    </w:p>
    <w:p w14:paraId="783A2EE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二、部门预算单位构成</w:t>
      </w:r>
    </w:p>
    <w:p w14:paraId="6261EC3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三、部门收支总体情况</w:t>
      </w:r>
    </w:p>
    <w:p w14:paraId="55D78B8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（一）收入预算</w:t>
      </w:r>
    </w:p>
    <w:p w14:paraId="0534CB1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（二）支出预算</w:t>
      </w:r>
    </w:p>
    <w:p w14:paraId="3BD9C25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四、一般公共预算拨款支出预算</w:t>
      </w:r>
    </w:p>
    <w:p w14:paraId="5670EFD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</w:t>
      </w:r>
    </w:p>
    <w:p w14:paraId="711B2D7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</w:t>
      </w:r>
    </w:p>
    <w:p w14:paraId="12FE14C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五、政府性基金预算支出</w:t>
      </w:r>
    </w:p>
    <w:p w14:paraId="22B4F8C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bCs/>
          <w:sz w:val="32"/>
          <w:szCs w:val="32"/>
        </w:rPr>
        <w:t>、其他重要事项的情况说明</w:t>
      </w:r>
    </w:p>
    <w:p w14:paraId="7EDDFB8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（一）机关运行经费</w:t>
      </w:r>
    </w:p>
    <w:p w14:paraId="201A24E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（二）“三公”经费预算</w:t>
      </w:r>
    </w:p>
    <w:p w14:paraId="4A2652C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（三）政府采购情况</w:t>
      </w:r>
    </w:p>
    <w:p w14:paraId="52A2DCA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国有资产占</w:t>
      </w:r>
      <w:r>
        <w:rPr>
          <w:rFonts w:hint="eastAsia" w:eastAsia="仿宋_GB2312"/>
          <w:sz w:val="32"/>
          <w:szCs w:val="32"/>
          <w:lang w:eastAsia="zh-CN"/>
        </w:rPr>
        <w:t>用使用</w:t>
      </w:r>
      <w:r>
        <w:rPr>
          <w:rFonts w:hint="eastAsia" w:eastAsia="仿宋_GB2312"/>
          <w:sz w:val="32"/>
          <w:szCs w:val="32"/>
        </w:rPr>
        <w:t>情况</w:t>
      </w:r>
    </w:p>
    <w:p w14:paraId="7E6E699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重点项目</w:t>
      </w:r>
      <w:r>
        <w:rPr>
          <w:rFonts w:hint="eastAsia" w:ascii="仿宋_GB2312" w:eastAsia="仿宋_GB2312"/>
          <w:color w:val="auto"/>
          <w:sz w:val="32"/>
          <w:szCs w:val="32"/>
        </w:rPr>
        <w:t>预算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的绩效目标等预算绩效情况说明</w:t>
      </w:r>
    </w:p>
    <w:p w14:paraId="37167B4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（六）财政专户经费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情况</w:t>
      </w:r>
    </w:p>
    <w:p w14:paraId="77EF38D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（七）会议、培训、节庆等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一般性支出情况</w:t>
      </w:r>
    </w:p>
    <w:p w14:paraId="1B2C8E0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、名词解释</w:t>
      </w:r>
    </w:p>
    <w:p w14:paraId="281A8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楷体_GB2312" w:hAnsi="楷体_GB2312" w:eastAsia="楷体_GB2312" w:cs="楷体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 w:bidi="ar"/>
        </w:rPr>
        <w:t>第二部分 部门预算公开表格</w:t>
      </w:r>
    </w:p>
    <w:p w14:paraId="29734E7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收支总表</w:t>
      </w:r>
    </w:p>
    <w:p w14:paraId="2C9C4557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收入总表</w:t>
      </w:r>
    </w:p>
    <w:p w14:paraId="22494B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支出总表</w:t>
      </w:r>
    </w:p>
    <w:p w14:paraId="6EB07CA8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支出预算分类汇总表（按政府预算经济分类）</w:t>
      </w:r>
    </w:p>
    <w:p w14:paraId="0A9D95E5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支出预算分类汇总表（按部门预算经济分类）</w:t>
      </w:r>
    </w:p>
    <w:p w14:paraId="552C7B75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财政拨款收支总表</w:t>
      </w:r>
    </w:p>
    <w:p w14:paraId="2B94293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一般公共预算支出表</w:t>
      </w:r>
    </w:p>
    <w:p w14:paraId="67FED4C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</w:t>
      </w:r>
    </w:p>
    <w:p w14:paraId="4923179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一般公共预算基本支出表--人员经费(工资福利支出)(按政府预算经济分类)</w:t>
      </w:r>
    </w:p>
    <w:p w14:paraId="1CDC68E4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一般公共预算基本支出表--人员经费(工资福利支出)(按部门预算经济分类)</w:t>
      </w:r>
    </w:p>
    <w:p w14:paraId="41A3FB82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一般公共预算基本支出表--人员经费(对个人和家庭的补助)(按政府预算经济分类)</w:t>
      </w:r>
    </w:p>
    <w:p w14:paraId="3490CE83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一般公共预算基本支出表--人员经费(对个人和家庭的补助)（按部门预算经济分类）</w:t>
      </w:r>
    </w:p>
    <w:p w14:paraId="5C31878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一般公共预算基本支出表--公用经费(商品和服务支出)（按政府预算经济分类）</w:t>
      </w:r>
    </w:p>
    <w:p w14:paraId="19286555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一般公共预算基本支出表--公用经费(商品和服务支出)(按部门预算经济分类)</w:t>
      </w:r>
    </w:p>
    <w:p w14:paraId="4A146D6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15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一般公共预算“三公”经费支出表</w:t>
      </w:r>
    </w:p>
    <w:p w14:paraId="5AB36707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16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政府性基金预算支出表</w:t>
      </w:r>
    </w:p>
    <w:p w14:paraId="52E82A8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17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政府性基金预算支出分类汇总表（按政府预算经济分类）</w:t>
      </w:r>
    </w:p>
    <w:p w14:paraId="06EDFB5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18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政府性基金预算支出分类汇总表（按部门预算经济分类）</w:t>
      </w:r>
    </w:p>
    <w:p w14:paraId="47EAE136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19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国有资本经营预算表</w:t>
      </w:r>
    </w:p>
    <w:p w14:paraId="3E62495E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财政专户管理资金预算支出表</w:t>
      </w:r>
    </w:p>
    <w:p w14:paraId="6854002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专项资金预算表</w:t>
      </w:r>
    </w:p>
    <w:p w14:paraId="2FAC2A4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项目支出绩效目标表</w:t>
      </w:r>
    </w:p>
    <w:p w14:paraId="5C44549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部门整体支出绩效目标表</w:t>
      </w:r>
    </w:p>
    <w:p w14:paraId="160996E2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政府采购预算表</w:t>
      </w:r>
    </w:p>
    <w:p w14:paraId="69D6CBF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（注：以上部门预算报表中，空表表示本部门无相关收支情况。）</w:t>
      </w:r>
    </w:p>
    <w:p w14:paraId="5875266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5646F16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</w:p>
    <w:p w14:paraId="277C725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08F92C07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68EE46D6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46BF1058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0E5A6018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69BE0E8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eastAsia="zh-CN"/>
        </w:rPr>
      </w:pPr>
    </w:p>
    <w:p w14:paraId="622AA613">
      <w:pPr>
        <w:rPr>
          <w:rFonts w:hint="eastAsia"/>
          <w:lang w:eastAsia="zh-CN"/>
        </w:rPr>
      </w:pPr>
    </w:p>
    <w:p w14:paraId="77A45BF7">
      <w:pPr>
        <w:pStyle w:val="2"/>
        <w:rPr>
          <w:rFonts w:hint="eastAsia"/>
          <w:lang w:eastAsia="zh-CN"/>
        </w:rPr>
      </w:pPr>
    </w:p>
    <w:p w14:paraId="2C949255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7699DC28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090DE149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第一部分</w:t>
      </w:r>
    </w:p>
    <w:p w14:paraId="045B4B84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  <w:t>湖南潇湘技师学院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2025年部门预算说明</w:t>
      </w:r>
    </w:p>
    <w:p w14:paraId="3ED9666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b/>
          <w:bCs/>
          <w:kern w:val="0"/>
          <w:sz w:val="32"/>
          <w:szCs w:val="32"/>
        </w:rPr>
      </w:pPr>
    </w:p>
    <w:p w14:paraId="1357A28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14:paraId="0BE13BF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职能职责</w:t>
      </w:r>
    </w:p>
    <w:p w14:paraId="496F3B0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湖南潇湘技师学院的职能职责是培养</w:t>
      </w:r>
      <w:r>
        <w:rPr>
          <w:rFonts w:hint="eastAsia" w:eastAsia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高中级技术人才和培养高等学历技术应用人才。开展职业技能培训和职业技术教育，促进教育科技文化发展；开展学历教育和技能培训、职业技能鉴定、学术交流及相关社会服务等。</w:t>
      </w:r>
    </w:p>
    <w:p w14:paraId="0D568C4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机构设置</w:t>
      </w:r>
    </w:p>
    <w:p w14:paraId="1B5232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湖南潇湘技师学院内设机构包括：党政办公室、组织人事处、宣传统战部、教务处、计划财务处、招生就业指导处、学生工作处、后勤保卫处、资产管理处等9个党政管理机构；纪检监察室1个纪检监察机构；教学督导与教学质量管理中心、科技研讨与孵化中心（创新创业中心）、图书馆等3个教辅机构；机电工程系、汽车工程系、艺术设计系、经济管理系、信息工程系、公共课系、马克思主义学院、实训系、技能鉴定与短期培训教学系等9个教学机构。</w:t>
      </w:r>
    </w:p>
    <w:p w14:paraId="00591929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14:paraId="629849B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湖南潇湘技师学院无二级预算单位，因此，纳入2025年部门预算编制范围的只有湖南潇湘技师学院本级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208DA9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left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预算</w:t>
      </w:r>
      <w:r>
        <w:rPr>
          <w:rFonts w:eastAsia="黑体"/>
          <w:bCs/>
          <w:kern w:val="0"/>
          <w:sz w:val="32"/>
          <w:szCs w:val="32"/>
        </w:rPr>
        <w:t>收支总体情况</w:t>
      </w:r>
    </w:p>
    <w:p w14:paraId="1116C605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2025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本部门的收入预算主要包括</w:t>
      </w:r>
      <w:r>
        <w:rPr>
          <w:rFonts w:hint="eastAsia" w:eastAsia="仿宋_GB2312"/>
          <w:color w:val="auto"/>
          <w:sz w:val="32"/>
          <w:szCs w:val="32"/>
        </w:rPr>
        <w:t>一般公共预算拨款收入</w:t>
      </w:r>
      <w:r>
        <w:rPr>
          <w:rFonts w:eastAsia="仿宋_GB2312"/>
          <w:color w:val="auto"/>
          <w:sz w:val="32"/>
          <w:szCs w:val="32"/>
        </w:rPr>
        <w:t>、</w:t>
      </w:r>
      <w:r>
        <w:rPr>
          <w:rFonts w:hint="eastAsia" w:eastAsia="仿宋_GB2312"/>
          <w:color w:val="auto"/>
          <w:sz w:val="32"/>
          <w:szCs w:val="32"/>
        </w:rPr>
        <w:t>政府性基金预算拨款收入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</w:rPr>
        <w:t>国有资本经营预算拨款收入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、财政专户管理资金收入</w:t>
      </w:r>
      <w:r>
        <w:rPr>
          <w:rFonts w:eastAsia="仿宋_GB2312"/>
          <w:color w:val="auto"/>
          <w:sz w:val="32"/>
          <w:szCs w:val="32"/>
        </w:rPr>
        <w:t>等收</w:t>
      </w:r>
      <w:r>
        <w:rPr>
          <w:rFonts w:eastAsia="仿宋_GB2312"/>
          <w:color w:val="auto"/>
          <w:sz w:val="32"/>
          <w:szCs w:val="32"/>
          <w:highlight w:val="none"/>
        </w:rPr>
        <w:t>入；支出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预算主要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包括保障单位基本运行的经费和业务工作经费，具体情</w:t>
      </w:r>
      <w:r>
        <w:rPr>
          <w:rFonts w:hint="eastAsia" w:eastAsia="仿宋_GB2312"/>
          <w:color w:val="auto"/>
          <w:sz w:val="32"/>
          <w:szCs w:val="32"/>
          <w:lang w:eastAsia="zh-CN"/>
        </w:rPr>
        <w:t>况如下：</w:t>
      </w:r>
    </w:p>
    <w:p w14:paraId="16E29CB5">
      <w:pPr>
        <w:pStyle w:val="3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（一）</w:t>
      </w:r>
      <w:r>
        <w:rPr>
          <w:rFonts w:eastAsia="仿宋_GB2312"/>
          <w:sz w:val="32"/>
          <w:szCs w:val="32"/>
        </w:rPr>
        <w:t>收入预算，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9083.75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4770.75   </w:t>
      </w:r>
      <w:r>
        <w:rPr>
          <w:rFonts w:eastAsia="仿宋_GB2312"/>
          <w:sz w:val="32"/>
          <w:szCs w:val="32"/>
        </w:rPr>
        <w:t>万元，政府性基金</w:t>
      </w:r>
      <w:r>
        <w:rPr>
          <w:rFonts w:hint="eastAsia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0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0 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财政专户管理资金收入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4313  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</w:rPr>
        <w:t>收入较去年增加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744.49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highlight w:val="none"/>
          <w:u w:val="none"/>
        </w:rPr>
        <w:t>增加主要原因是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学院教职工人数和学生人数增加</w:t>
      </w:r>
      <w:r>
        <w:rPr>
          <w:rFonts w:hint="eastAsia" w:eastAsia="仿宋_GB2312"/>
          <w:sz w:val="32"/>
          <w:szCs w:val="32"/>
          <w:highlight w:val="none"/>
          <w:u w:val="none"/>
        </w:rPr>
        <w:t>。</w:t>
      </w:r>
    </w:p>
    <w:p w14:paraId="21CA2270"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highlight w:val="none"/>
          <w:u w:val="none"/>
          <w:lang w:eastAsia="zh-CN"/>
        </w:rPr>
      </w:pPr>
      <w:r>
        <w:rPr>
          <w:rFonts w:eastAsia="仿宋_GB2312"/>
          <w:sz w:val="32"/>
          <w:szCs w:val="32"/>
        </w:rPr>
        <w:t>（二）支出预算，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9083.75  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0 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教育支出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8049.27 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458.16 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u w:val="none"/>
        </w:rPr>
        <w:t>卫生健康支出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188.21   </w:t>
      </w:r>
      <w:r>
        <w:rPr>
          <w:rFonts w:hint="eastAsia" w:eastAsia="仿宋_GB2312"/>
          <w:sz w:val="32"/>
          <w:szCs w:val="32"/>
          <w:highlight w:val="none"/>
          <w:u w:val="none"/>
        </w:rPr>
        <w:t>万元，住房保障支出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388.12  </w:t>
      </w:r>
      <w:r>
        <w:rPr>
          <w:rFonts w:hint="eastAsia" w:eastAsia="仿宋_GB2312"/>
          <w:sz w:val="32"/>
          <w:szCs w:val="32"/>
          <w:highlight w:val="none"/>
          <w:u w:val="none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支出较去年增加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744.49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highlight w:val="none"/>
          <w:u w:val="none"/>
        </w:rPr>
        <w:t>增加主要原因是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学院教职工人数和学生人数增加</w:t>
      </w:r>
      <w:r>
        <w:rPr>
          <w:rFonts w:hint="eastAsia" w:eastAsia="仿宋_GB2312"/>
          <w:sz w:val="32"/>
          <w:szCs w:val="32"/>
          <w:highlight w:val="none"/>
          <w:u w:val="none"/>
        </w:rPr>
        <w:t>。</w:t>
      </w:r>
    </w:p>
    <w:p w14:paraId="522EB1D8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四、一般公共预算拨款支出预算</w:t>
      </w:r>
    </w:p>
    <w:p w14:paraId="77EE0E3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年一般公共预算拨款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4770.75   </w:t>
      </w:r>
      <w:r>
        <w:rPr>
          <w:rFonts w:eastAsia="仿宋_GB2312"/>
          <w:sz w:val="32"/>
          <w:szCs w:val="32"/>
        </w:rPr>
        <w:t>万元，具体安排情况如下：</w:t>
      </w:r>
    </w:p>
    <w:p w14:paraId="469ABDC9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4626.75   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14:paraId="5D4850F6">
      <w:pPr>
        <w:widowControl/>
        <w:spacing w:line="600" w:lineRule="exact"/>
        <w:ind w:firstLine="660"/>
        <w:jc w:val="both"/>
        <w:rPr>
          <w:rFonts w:eastAsia="仿宋_GB2312"/>
          <w:sz w:val="32"/>
          <w:szCs w:val="32"/>
          <w:highlight w:val="yellow"/>
          <w:u w:val="none"/>
        </w:rPr>
      </w:pPr>
      <w:r>
        <w:rPr>
          <w:rFonts w:eastAsia="仿宋_GB2312"/>
          <w:sz w:val="32"/>
          <w:szCs w:val="32"/>
        </w:rPr>
        <w:t>（二）项目支出：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144  </w:t>
      </w:r>
      <w:r>
        <w:rPr>
          <w:rFonts w:eastAsia="仿宋_GB2312"/>
          <w:sz w:val="32"/>
          <w:szCs w:val="32"/>
        </w:rPr>
        <w:t>万元，是指单位为完成特定行政工作任务或事业发展目标而发生的支出，包括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业务工作经费支出</w:t>
      </w:r>
      <w:r>
        <w:rPr>
          <w:rFonts w:eastAsia="仿宋_GB2312"/>
          <w:sz w:val="32"/>
          <w:szCs w:val="32"/>
        </w:rPr>
        <w:t>等。</w:t>
      </w:r>
      <w:r>
        <w:rPr>
          <w:rFonts w:eastAsia="仿宋_GB2312"/>
          <w:sz w:val="32"/>
          <w:szCs w:val="32"/>
          <w:highlight w:val="none"/>
        </w:rPr>
        <w:t>其中：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业务工作经费</w:t>
      </w:r>
      <w:r>
        <w:rPr>
          <w:rFonts w:eastAsia="仿宋_GB2312"/>
          <w:sz w:val="32"/>
          <w:szCs w:val="32"/>
          <w:highlight w:val="none"/>
        </w:rPr>
        <w:t>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144   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eastAsia="仿宋_GB2312"/>
          <w:sz w:val="32"/>
          <w:szCs w:val="32"/>
          <w:highlight w:val="none"/>
          <w:u w:val="none"/>
        </w:rPr>
        <w:t>主要用于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零星维修、党建经费等方面。</w:t>
      </w:r>
    </w:p>
    <w:p w14:paraId="54AB6F4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五、政府性基金预算支出</w:t>
      </w:r>
    </w:p>
    <w:p w14:paraId="2762F06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hint="eastAsia" w:eastAsia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2025年度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本单位无政府性基金支出。</w:t>
      </w:r>
    </w:p>
    <w:p w14:paraId="7D31FD5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、其他重要事项的情况说明</w:t>
      </w:r>
    </w:p>
    <w:p w14:paraId="243CADA3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（一）机关运行经费</w:t>
      </w:r>
    </w:p>
    <w:p w14:paraId="63CE6F6F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FF"/>
          <w:sz w:val="32"/>
          <w:szCs w:val="32"/>
          <w:highlight w:val="yellow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eastAsia="仿宋_GB2312"/>
          <w:sz w:val="32"/>
          <w:szCs w:val="32"/>
        </w:rPr>
        <w:t>机关运行经费当年一般公共预算拨款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37.95</w:t>
      </w:r>
      <w:r>
        <w:rPr>
          <w:rFonts w:eastAsia="仿宋_GB2312"/>
          <w:sz w:val="32"/>
          <w:szCs w:val="32"/>
        </w:rPr>
        <w:t>万元，比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年预算减少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15.8 </w:t>
      </w:r>
      <w:r>
        <w:rPr>
          <w:rFonts w:eastAsia="仿宋_GB2312"/>
          <w:sz w:val="32"/>
          <w:szCs w:val="32"/>
        </w:rPr>
        <w:t>万元，下降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29.43 </w:t>
      </w:r>
      <w:r>
        <w:rPr>
          <w:rFonts w:eastAsia="仿宋_GB2312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  <w:highlight w:val="none"/>
        </w:rPr>
        <w:t>主要包括：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工会经费和公务用车运行维护费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621C74A4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（二）“三公”经费预算</w:t>
      </w:r>
    </w:p>
    <w:p w14:paraId="7A43F3D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年“三公”经费预算数为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0  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12  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年“三公”经费预</w:t>
      </w:r>
      <w:r>
        <w:rPr>
          <w:rFonts w:eastAsia="仿宋_GB2312"/>
          <w:color w:val="000000"/>
          <w:sz w:val="32"/>
          <w:szCs w:val="32"/>
          <w:highlight w:val="none"/>
        </w:rPr>
        <w:t>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与2024年持平。</w:t>
      </w:r>
    </w:p>
    <w:p w14:paraId="00F44912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（三）政府采购情况</w:t>
      </w:r>
    </w:p>
    <w:p w14:paraId="2E91495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2025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本单位</w:t>
      </w:r>
      <w:r>
        <w:rPr>
          <w:rFonts w:eastAsia="仿宋_GB2312"/>
          <w:color w:val="auto"/>
          <w:sz w:val="32"/>
          <w:szCs w:val="32"/>
        </w:rPr>
        <w:t>政府采购预算总额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245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万元，其中，政府采购货物预算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40 </w:t>
      </w:r>
      <w:r>
        <w:rPr>
          <w:rFonts w:eastAsia="仿宋_GB2312"/>
          <w:color w:val="auto"/>
          <w:sz w:val="32"/>
          <w:szCs w:val="32"/>
        </w:rPr>
        <w:t>万元；政府采购工程预算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万元；政府采购服务预算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 w14:paraId="3706AF0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jc w:val="left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（四）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国有资产占用使用情况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及新增资产配置情况</w:t>
      </w:r>
    </w:p>
    <w:p w14:paraId="27DA390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2025年，本单位资产总值年初余额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81828.16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万元，其中包括流动资产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3507.80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万元，固定资产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57349.65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无形资产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14027.62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其他资产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6943.09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万元。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固定资产包括房屋及构筑物、通用设备、专用设备等等。占用办公用房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6641.25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平方米。价值50万以上通用设备及专用设备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28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台，价值100万以上通用设备及专用设备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台。公务用车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4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辆，其中：领导干部用车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辆、一般公务用车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辆、一般执法执勤用车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辆、特种专业技术用车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2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辆。</w:t>
      </w:r>
    </w:p>
    <w:p w14:paraId="4C81A72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eastAsia="楷体_GB2312"/>
          <w:b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（五）重点项目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预算</w:t>
      </w:r>
      <w:r>
        <w:rPr>
          <w:rFonts w:hint="eastAsia" w:ascii="楷体_GB2312" w:eastAsia="楷体_GB2312"/>
          <w:b/>
          <w:color w:val="000000"/>
          <w:sz w:val="32"/>
          <w:szCs w:val="32"/>
          <w:lang w:eastAsia="zh-CN"/>
        </w:rPr>
        <w:t>的绩效目标等预算绩效情况说明</w:t>
      </w:r>
    </w:p>
    <w:p w14:paraId="771F383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年度本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无重点项目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,因此无重点项目预算的绩效目标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但</w:t>
      </w:r>
      <w:r>
        <w:rPr>
          <w:rFonts w:hint="eastAsia" w:ascii="仿宋_GB2312" w:eastAsia="仿宋_GB2312"/>
          <w:sz w:val="32"/>
          <w:szCs w:val="32"/>
          <w:lang w:eastAsia="zh-CN"/>
        </w:rPr>
        <w:t>本部门整体支出和项目支出实行绩效目标管理，纳入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2025年部门整体支出绩效的金额为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9083.75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万元，其中，基本支出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4626.75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万元，项目支出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4457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-SA"/>
        </w:rPr>
        <w:t>具体绩效目标详见预算报表。</w:t>
      </w:r>
    </w:p>
    <w:p w14:paraId="0EED415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  <w:t>（六）财政专户经费</w:t>
      </w:r>
    </w:p>
    <w:p w14:paraId="4BBF5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2025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本单位财政专户</w:t>
      </w:r>
      <w:r>
        <w:rPr>
          <w:rFonts w:eastAsia="仿宋_GB2312"/>
          <w:color w:val="auto"/>
          <w:sz w:val="32"/>
          <w:szCs w:val="32"/>
        </w:rPr>
        <w:t>经费预算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4313  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万元，比</w:t>
      </w:r>
      <w:r>
        <w:rPr>
          <w:rFonts w:hint="eastAsia" w:eastAsia="仿宋_GB2312"/>
          <w:color w:val="auto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sz w:val="32"/>
          <w:szCs w:val="32"/>
        </w:rPr>
        <w:t>年预算增加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713  </w:t>
      </w:r>
      <w:r>
        <w:rPr>
          <w:rFonts w:eastAsia="仿宋_GB2312"/>
          <w:color w:val="auto"/>
          <w:sz w:val="32"/>
          <w:szCs w:val="32"/>
        </w:rPr>
        <w:t>万元，上升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19.81  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主要用于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绩效工资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津贴补贴、医疗费、其他社会保障缴费、其他工资福利支出、办公费、会议费、电费、水费、印刷费、劳务费、公务接待费、公务用车运行维护费、工会经费、专用材料费、其他交通费用、物业管理费、其他商品和服务支出、房屋建筑物购建、办公设备购置、其他对个人和家庭的补助、国内债务付息、国内债务还本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等方面。</w:t>
      </w:r>
    </w:p>
    <w:p w14:paraId="5BCD7C4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color w:val="auto"/>
          <w:sz w:val="32"/>
          <w:szCs w:val="32"/>
          <w:lang w:val="en-US" w:eastAsia="zh-CN"/>
        </w:rPr>
        <w:t>（七）会议、培训、节庆等一般性支出情况</w:t>
      </w:r>
    </w:p>
    <w:p w14:paraId="34C5533D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2025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安排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会议经费预算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 xml:space="preserve"> 5 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2024年预算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持平；</w:t>
      </w:r>
    </w:p>
    <w:p w14:paraId="07652812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2025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培训经费预算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5 万元，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年预算增加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3  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万元，上升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150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 xml:space="preserve"> %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55A1D244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2025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节庆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 0 次，计划参加人数0   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节庆经费预算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0 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2024年预算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持平；</w:t>
      </w:r>
    </w:p>
    <w:p w14:paraId="7194E2FF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2025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晚会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 0 次，计划参加人数0   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晚会经费预算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0万元，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2024年预算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持平；</w:t>
      </w:r>
    </w:p>
    <w:p w14:paraId="6C29E0FD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2025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论坛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 次，计划参加人数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论坛经费预算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 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2024年预算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持平；</w:t>
      </w:r>
    </w:p>
    <w:p w14:paraId="1FCD88D4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2025</w:t>
      </w:r>
      <w:r>
        <w:rPr>
          <w:rFonts w:eastAsia="仿宋_GB2312"/>
          <w:color w:val="auto"/>
          <w:sz w:val="32"/>
          <w:szCs w:val="32"/>
          <w:u w:val="none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本单位计划举办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赛事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 次，计划参加人数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赛事经费预算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0 万元，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与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2024年预算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持平。</w:t>
      </w:r>
    </w:p>
    <w:p w14:paraId="2E81F903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、名词解释</w:t>
      </w:r>
    </w:p>
    <w:p w14:paraId="20DFF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</w:rPr>
        <w:t>1.一般公共预算。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对以税收为主体的财政收入，安排用于保障和改善民生、推动经济社会发展、维护国家安全、维持国家机构正常运转等方面的收支预算。</w:t>
      </w:r>
    </w:p>
    <w:p w14:paraId="7FBDF28E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</w:rPr>
        <w:t>2.政府性基金预算。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对依照法律、行政法规的规定在一定期限内向特定对象征收、收取或者以其他方式筹集的资金，专项用于特定公共事业发展的收支预算。</w:t>
      </w:r>
    </w:p>
    <w:p w14:paraId="0013A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</w:rPr>
        <w:t>.非税收入。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指各级国家机关、事业单位、社会团体以及其他组织，依据有关法律、行政法规，履行管理职能、行使国有资产或者国有资源所有权、提供特定服务或者以政府名义征收、收取、提取、罚没、追缴、募集的税收以外的财政性资金。</w:t>
      </w:r>
    </w:p>
    <w:p w14:paraId="1A1D3A0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</w:rPr>
        <w:t>机关运行经费：</w:t>
      </w:r>
      <w:r>
        <w:rPr>
          <w:rFonts w:eastAsia="仿宋_GB2312"/>
          <w:sz w:val="32"/>
          <w:szCs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77F65443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napToGrid w:val="0"/>
          <w:color w:val="000000"/>
          <w:kern w:val="0"/>
          <w:sz w:val="30"/>
          <w:szCs w:val="30"/>
          <w:lang w:val="en-US" w:eastAsia="zh-CN"/>
        </w:rPr>
        <w:t>5.“三公”经费：</w:t>
      </w:r>
      <w:r>
        <w:rPr>
          <w:rFonts w:eastAsia="仿宋_GB2312"/>
          <w:sz w:val="32"/>
          <w:szCs w:val="32"/>
        </w:rPr>
        <w:t>纳入</w:t>
      </w:r>
      <w:r>
        <w:rPr>
          <w:rFonts w:hint="eastAsia" w:eastAsia="仿宋_GB2312"/>
          <w:sz w:val="32"/>
          <w:szCs w:val="32"/>
          <w:lang w:eastAsia="zh-CN"/>
        </w:rPr>
        <w:t>市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57A07B95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60"/>
        <w:textAlignment w:val="auto"/>
        <w:rPr>
          <w:rFonts w:hint="default" w:eastAsia="仿宋_GB2312"/>
          <w:color w:val="FF0000"/>
          <w:sz w:val="32"/>
          <w:szCs w:val="32"/>
          <w:lang w:val="en-US" w:eastAsia="zh-CN"/>
        </w:rPr>
      </w:pPr>
    </w:p>
    <w:p w14:paraId="32CD8ED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第二部分 部门预算公开表格（见附件）</w:t>
      </w:r>
    </w:p>
    <w:p w14:paraId="480E6F6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p w14:paraId="7B63180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（单位名称）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2025年部门预算公开表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0EAA6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58BE09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925C8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FEF131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YmMxYTI3YjFkMWE5ZWExMjIwNzQ3NzExMGM1NzMifQ=="/>
  </w:docVars>
  <w:rsids>
    <w:rsidRoot w:val="00BC2454"/>
    <w:rsid w:val="00046CD8"/>
    <w:rsid w:val="000517A5"/>
    <w:rsid w:val="00072CAE"/>
    <w:rsid w:val="000954F2"/>
    <w:rsid w:val="000A4FB3"/>
    <w:rsid w:val="000A6A48"/>
    <w:rsid w:val="000D0004"/>
    <w:rsid w:val="00144889"/>
    <w:rsid w:val="00154526"/>
    <w:rsid w:val="00163804"/>
    <w:rsid w:val="00175807"/>
    <w:rsid w:val="0019623B"/>
    <w:rsid w:val="001D2631"/>
    <w:rsid w:val="001D3C87"/>
    <w:rsid w:val="001F4E0D"/>
    <w:rsid w:val="00201924"/>
    <w:rsid w:val="00237A6E"/>
    <w:rsid w:val="00271133"/>
    <w:rsid w:val="00296EFB"/>
    <w:rsid w:val="002E2DF4"/>
    <w:rsid w:val="00324951"/>
    <w:rsid w:val="003524FF"/>
    <w:rsid w:val="0035770F"/>
    <w:rsid w:val="00363FF2"/>
    <w:rsid w:val="003916A3"/>
    <w:rsid w:val="003C1285"/>
    <w:rsid w:val="003E3DCB"/>
    <w:rsid w:val="003E534A"/>
    <w:rsid w:val="004108FD"/>
    <w:rsid w:val="004440F0"/>
    <w:rsid w:val="00452E9A"/>
    <w:rsid w:val="00464006"/>
    <w:rsid w:val="00485A8E"/>
    <w:rsid w:val="004C5E39"/>
    <w:rsid w:val="004D7D60"/>
    <w:rsid w:val="00512301"/>
    <w:rsid w:val="005215FE"/>
    <w:rsid w:val="00531162"/>
    <w:rsid w:val="005462E4"/>
    <w:rsid w:val="00546626"/>
    <w:rsid w:val="00546C88"/>
    <w:rsid w:val="005736B2"/>
    <w:rsid w:val="005928E1"/>
    <w:rsid w:val="00592C76"/>
    <w:rsid w:val="0059518B"/>
    <w:rsid w:val="005977DB"/>
    <w:rsid w:val="00597989"/>
    <w:rsid w:val="005D53AF"/>
    <w:rsid w:val="005F34D9"/>
    <w:rsid w:val="005F6D5D"/>
    <w:rsid w:val="00616EE4"/>
    <w:rsid w:val="00620C3E"/>
    <w:rsid w:val="00635F8C"/>
    <w:rsid w:val="00656925"/>
    <w:rsid w:val="00666654"/>
    <w:rsid w:val="006849E7"/>
    <w:rsid w:val="006A0518"/>
    <w:rsid w:val="006C26FE"/>
    <w:rsid w:val="006C42C5"/>
    <w:rsid w:val="006D3CE3"/>
    <w:rsid w:val="006D6C07"/>
    <w:rsid w:val="006F29DE"/>
    <w:rsid w:val="006F392E"/>
    <w:rsid w:val="006F3E14"/>
    <w:rsid w:val="00701010"/>
    <w:rsid w:val="0070113C"/>
    <w:rsid w:val="00722414"/>
    <w:rsid w:val="007417DD"/>
    <w:rsid w:val="007567CE"/>
    <w:rsid w:val="007B64E2"/>
    <w:rsid w:val="007C0383"/>
    <w:rsid w:val="007D15B0"/>
    <w:rsid w:val="007D73A4"/>
    <w:rsid w:val="00801D5A"/>
    <w:rsid w:val="00832049"/>
    <w:rsid w:val="0084726C"/>
    <w:rsid w:val="00863198"/>
    <w:rsid w:val="0087313A"/>
    <w:rsid w:val="0089540C"/>
    <w:rsid w:val="008A7184"/>
    <w:rsid w:val="008B5E7A"/>
    <w:rsid w:val="008D6EC9"/>
    <w:rsid w:val="008F1444"/>
    <w:rsid w:val="008F74A3"/>
    <w:rsid w:val="00902154"/>
    <w:rsid w:val="00903EA7"/>
    <w:rsid w:val="009159E5"/>
    <w:rsid w:val="00915F95"/>
    <w:rsid w:val="00923B27"/>
    <w:rsid w:val="00926348"/>
    <w:rsid w:val="0095388A"/>
    <w:rsid w:val="009563A0"/>
    <w:rsid w:val="0096208A"/>
    <w:rsid w:val="00972EA0"/>
    <w:rsid w:val="00976E5C"/>
    <w:rsid w:val="00977604"/>
    <w:rsid w:val="0099618B"/>
    <w:rsid w:val="009C2250"/>
    <w:rsid w:val="009C5D5F"/>
    <w:rsid w:val="009D1165"/>
    <w:rsid w:val="009D78B0"/>
    <w:rsid w:val="009F04FA"/>
    <w:rsid w:val="009F505C"/>
    <w:rsid w:val="009F6459"/>
    <w:rsid w:val="00A55E85"/>
    <w:rsid w:val="00A721A2"/>
    <w:rsid w:val="00AC7F2B"/>
    <w:rsid w:val="00AD2C7E"/>
    <w:rsid w:val="00AF6D8E"/>
    <w:rsid w:val="00B0031C"/>
    <w:rsid w:val="00B02C7B"/>
    <w:rsid w:val="00B1697E"/>
    <w:rsid w:val="00B2338E"/>
    <w:rsid w:val="00B55D7A"/>
    <w:rsid w:val="00B611E3"/>
    <w:rsid w:val="00B61DEB"/>
    <w:rsid w:val="00B63F9B"/>
    <w:rsid w:val="00B65489"/>
    <w:rsid w:val="00B70D77"/>
    <w:rsid w:val="00BA1C1F"/>
    <w:rsid w:val="00BC2454"/>
    <w:rsid w:val="00BC2A62"/>
    <w:rsid w:val="00BC6343"/>
    <w:rsid w:val="00BC6754"/>
    <w:rsid w:val="00BD376E"/>
    <w:rsid w:val="00BD5DC0"/>
    <w:rsid w:val="00BE395E"/>
    <w:rsid w:val="00C0470D"/>
    <w:rsid w:val="00C057A5"/>
    <w:rsid w:val="00C11FCB"/>
    <w:rsid w:val="00C145A5"/>
    <w:rsid w:val="00C252CD"/>
    <w:rsid w:val="00C57763"/>
    <w:rsid w:val="00CB50EF"/>
    <w:rsid w:val="00CE7FC2"/>
    <w:rsid w:val="00D02A07"/>
    <w:rsid w:val="00D04DD6"/>
    <w:rsid w:val="00D26186"/>
    <w:rsid w:val="00D43A65"/>
    <w:rsid w:val="00D50F48"/>
    <w:rsid w:val="00D854EC"/>
    <w:rsid w:val="00D92485"/>
    <w:rsid w:val="00D954BA"/>
    <w:rsid w:val="00DA51B1"/>
    <w:rsid w:val="00DA603F"/>
    <w:rsid w:val="00DC1DC4"/>
    <w:rsid w:val="00DC3DC4"/>
    <w:rsid w:val="00DC656B"/>
    <w:rsid w:val="00DD0F33"/>
    <w:rsid w:val="00DE6379"/>
    <w:rsid w:val="00DE745B"/>
    <w:rsid w:val="00E1120B"/>
    <w:rsid w:val="00E34AA8"/>
    <w:rsid w:val="00E3791B"/>
    <w:rsid w:val="00E50D2E"/>
    <w:rsid w:val="00E54CAA"/>
    <w:rsid w:val="00E562D4"/>
    <w:rsid w:val="00E718D2"/>
    <w:rsid w:val="00E95A81"/>
    <w:rsid w:val="00EA7407"/>
    <w:rsid w:val="00EB0775"/>
    <w:rsid w:val="00EB1322"/>
    <w:rsid w:val="00EB181E"/>
    <w:rsid w:val="00EB6422"/>
    <w:rsid w:val="00F1211D"/>
    <w:rsid w:val="00F23295"/>
    <w:rsid w:val="00F74AC0"/>
    <w:rsid w:val="00F77584"/>
    <w:rsid w:val="00F9003E"/>
    <w:rsid w:val="00FA2ADE"/>
    <w:rsid w:val="00FA2C78"/>
    <w:rsid w:val="00FA3DDB"/>
    <w:rsid w:val="00FB74E9"/>
    <w:rsid w:val="00FC7161"/>
    <w:rsid w:val="00FD0463"/>
    <w:rsid w:val="00FD3B70"/>
    <w:rsid w:val="013B49D4"/>
    <w:rsid w:val="019F07CE"/>
    <w:rsid w:val="0232372D"/>
    <w:rsid w:val="02B24850"/>
    <w:rsid w:val="02CD2C37"/>
    <w:rsid w:val="02D47230"/>
    <w:rsid w:val="035927DA"/>
    <w:rsid w:val="041B2008"/>
    <w:rsid w:val="04AA0A87"/>
    <w:rsid w:val="04BF1D1D"/>
    <w:rsid w:val="04CF1167"/>
    <w:rsid w:val="04F75026"/>
    <w:rsid w:val="05D011D7"/>
    <w:rsid w:val="06023C82"/>
    <w:rsid w:val="061340E1"/>
    <w:rsid w:val="063846E6"/>
    <w:rsid w:val="067433D1"/>
    <w:rsid w:val="069A73A2"/>
    <w:rsid w:val="06B96ED9"/>
    <w:rsid w:val="070E2C26"/>
    <w:rsid w:val="071E6C56"/>
    <w:rsid w:val="07702892"/>
    <w:rsid w:val="07B436A2"/>
    <w:rsid w:val="07E73532"/>
    <w:rsid w:val="07F6547C"/>
    <w:rsid w:val="08122176"/>
    <w:rsid w:val="08404F36"/>
    <w:rsid w:val="087756DB"/>
    <w:rsid w:val="08A01E53"/>
    <w:rsid w:val="08AE6FF2"/>
    <w:rsid w:val="090137FA"/>
    <w:rsid w:val="090349DF"/>
    <w:rsid w:val="09562FD0"/>
    <w:rsid w:val="097A2FB9"/>
    <w:rsid w:val="09896424"/>
    <w:rsid w:val="099217C1"/>
    <w:rsid w:val="099C2DAD"/>
    <w:rsid w:val="0A3A5566"/>
    <w:rsid w:val="0A7B292C"/>
    <w:rsid w:val="0A7C7130"/>
    <w:rsid w:val="0AA54643"/>
    <w:rsid w:val="0AAE4D79"/>
    <w:rsid w:val="0AEB12C6"/>
    <w:rsid w:val="0B175FF8"/>
    <w:rsid w:val="0B3E595E"/>
    <w:rsid w:val="0BAE7FB9"/>
    <w:rsid w:val="0BC01E63"/>
    <w:rsid w:val="0C036138"/>
    <w:rsid w:val="0C0F6BAC"/>
    <w:rsid w:val="0C4732A8"/>
    <w:rsid w:val="0CD245C4"/>
    <w:rsid w:val="0D5C100D"/>
    <w:rsid w:val="0D7D33E7"/>
    <w:rsid w:val="0D912EF2"/>
    <w:rsid w:val="0DA36BD6"/>
    <w:rsid w:val="0DB148E5"/>
    <w:rsid w:val="0DC6400A"/>
    <w:rsid w:val="0DCE2C3D"/>
    <w:rsid w:val="0E1A5AD0"/>
    <w:rsid w:val="0E421F5E"/>
    <w:rsid w:val="0E670FC5"/>
    <w:rsid w:val="0E7247E2"/>
    <w:rsid w:val="0E78705F"/>
    <w:rsid w:val="0E835FED"/>
    <w:rsid w:val="0EBD0723"/>
    <w:rsid w:val="0ED00AAD"/>
    <w:rsid w:val="0EDB2B77"/>
    <w:rsid w:val="0EDF0DA5"/>
    <w:rsid w:val="0EEF792D"/>
    <w:rsid w:val="0F727F27"/>
    <w:rsid w:val="0FAE0EC5"/>
    <w:rsid w:val="0FB6059E"/>
    <w:rsid w:val="106C0334"/>
    <w:rsid w:val="10A1053B"/>
    <w:rsid w:val="10C227CB"/>
    <w:rsid w:val="110C00AB"/>
    <w:rsid w:val="11145A76"/>
    <w:rsid w:val="11243164"/>
    <w:rsid w:val="11317955"/>
    <w:rsid w:val="11522149"/>
    <w:rsid w:val="11B06D7F"/>
    <w:rsid w:val="11C800E9"/>
    <w:rsid w:val="120820F6"/>
    <w:rsid w:val="1272437D"/>
    <w:rsid w:val="12E0359D"/>
    <w:rsid w:val="130E3DC3"/>
    <w:rsid w:val="131D659F"/>
    <w:rsid w:val="132D093C"/>
    <w:rsid w:val="13EC2FF8"/>
    <w:rsid w:val="148E7860"/>
    <w:rsid w:val="14A32AD4"/>
    <w:rsid w:val="14A52F44"/>
    <w:rsid w:val="15197730"/>
    <w:rsid w:val="153A0BF0"/>
    <w:rsid w:val="15467B86"/>
    <w:rsid w:val="155B7835"/>
    <w:rsid w:val="15601AB6"/>
    <w:rsid w:val="15C90F40"/>
    <w:rsid w:val="15E11B06"/>
    <w:rsid w:val="168E0302"/>
    <w:rsid w:val="169C4355"/>
    <w:rsid w:val="16C1371A"/>
    <w:rsid w:val="16C35E2B"/>
    <w:rsid w:val="171506C3"/>
    <w:rsid w:val="17176CE1"/>
    <w:rsid w:val="1739459B"/>
    <w:rsid w:val="17397A4E"/>
    <w:rsid w:val="175C275F"/>
    <w:rsid w:val="176216B0"/>
    <w:rsid w:val="17977689"/>
    <w:rsid w:val="17EC02EE"/>
    <w:rsid w:val="17F63C5F"/>
    <w:rsid w:val="186E6D83"/>
    <w:rsid w:val="18C17F09"/>
    <w:rsid w:val="196F3CA5"/>
    <w:rsid w:val="197D3537"/>
    <w:rsid w:val="197E433F"/>
    <w:rsid w:val="198F041B"/>
    <w:rsid w:val="1A0933D9"/>
    <w:rsid w:val="1ABC669E"/>
    <w:rsid w:val="1AF879BE"/>
    <w:rsid w:val="1B126D61"/>
    <w:rsid w:val="1BEF66DA"/>
    <w:rsid w:val="1BFB1713"/>
    <w:rsid w:val="1C16002F"/>
    <w:rsid w:val="1C402586"/>
    <w:rsid w:val="1C8D3FEC"/>
    <w:rsid w:val="1CB307B2"/>
    <w:rsid w:val="1CB33AD0"/>
    <w:rsid w:val="1CBA67F5"/>
    <w:rsid w:val="1CF01246"/>
    <w:rsid w:val="1D0460DA"/>
    <w:rsid w:val="1D077978"/>
    <w:rsid w:val="1D39103B"/>
    <w:rsid w:val="1D516463"/>
    <w:rsid w:val="1D980DEA"/>
    <w:rsid w:val="1DA86DD3"/>
    <w:rsid w:val="1DB714BB"/>
    <w:rsid w:val="1DB81EAA"/>
    <w:rsid w:val="1E016615"/>
    <w:rsid w:val="1E2A4E0F"/>
    <w:rsid w:val="1E7A3919"/>
    <w:rsid w:val="1EEA2E11"/>
    <w:rsid w:val="1F213A59"/>
    <w:rsid w:val="1F481F3B"/>
    <w:rsid w:val="1FA15462"/>
    <w:rsid w:val="1FA45952"/>
    <w:rsid w:val="200B777F"/>
    <w:rsid w:val="20136CD7"/>
    <w:rsid w:val="201A1BD3"/>
    <w:rsid w:val="203C302B"/>
    <w:rsid w:val="203D08B8"/>
    <w:rsid w:val="204632A7"/>
    <w:rsid w:val="204E63AA"/>
    <w:rsid w:val="20A566B1"/>
    <w:rsid w:val="210F5A72"/>
    <w:rsid w:val="21A36386"/>
    <w:rsid w:val="22980AFB"/>
    <w:rsid w:val="235141F3"/>
    <w:rsid w:val="2398103C"/>
    <w:rsid w:val="23D9610A"/>
    <w:rsid w:val="23E72726"/>
    <w:rsid w:val="23F0560A"/>
    <w:rsid w:val="24017C49"/>
    <w:rsid w:val="240F7D22"/>
    <w:rsid w:val="24E764A8"/>
    <w:rsid w:val="24EC5DD1"/>
    <w:rsid w:val="251D39B1"/>
    <w:rsid w:val="25761B3F"/>
    <w:rsid w:val="259D24E0"/>
    <w:rsid w:val="25C076C2"/>
    <w:rsid w:val="25C87964"/>
    <w:rsid w:val="25E40F65"/>
    <w:rsid w:val="25EA625C"/>
    <w:rsid w:val="26333697"/>
    <w:rsid w:val="26835FDE"/>
    <w:rsid w:val="26AD333E"/>
    <w:rsid w:val="26DB7EAB"/>
    <w:rsid w:val="26FA34E6"/>
    <w:rsid w:val="270432AD"/>
    <w:rsid w:val="27090719"/>
    <w:rsid w:val="272262C9"/>
    <w:rsid w:val="275D2FB6"/>
    <w:rsid w:val="27686864"/>
    <w:rsid w:val="27ED0B67"/>
    <w:rsid w:val="28BA1B82"/>
    <w:rsid w:val="28BE5CD7"/>
    <w:rsid w:val="28F11412"/>
    <w:rsid w:val="291B291B"/>
    <w:rsid w:val="295977AD"/>
    <w:rsid w:val="29B03A85"/>
    <w:rsid w:val="29C3221B"/>
    <w:rsid w:val="29DC6E12"/>
    <w:rsid w:val="2A044AC7"/>
    <w:rsid w:val="2A09540B"/>
    <w:rsid w:val="2A0D081E"/>
    <w:rsid w:val="2A551EAE"/>
    <w:rsid w:val="2A860331"/>
    <w:rsid w:val="2A8D5961"/>
    <w:rsid w:val="2AFF24D9"/>
    <w:rsid w:val="2B3359E3"/>
    <w:rsid w:val="2B4B0FD5"/>
    <w:rsid w:val="2BA633AE"/>
    <w:rsid w:val="2BCC6654"/>
    <w:rsid w:val="2BDA740D"/>
    <w:rsid w:val="2C4700EF"/>
    <w:rsid w:val="2C8E38AA"/>
    <w:rsid w:val="2D0B08DF"/>
    <w:rsid w:val="2D3C33FD"/>
    <w:rsid w:val="2DC66F85"/>
    <w:rsid w:val="2DC83D3B"/>
    <w:rsid w:val="2DE170A8"/>
    <w:rsid w:val="2E24482E"/>
    <w:rsid w:val="2E8B1695"/>
    <w:rsid w:val="2E8D2D0F"/>
    <w:rsid w:val="2ED50E29"/>
    <w:rsid w:val="2EFB5526"/>
    <w:rsid w:val="2F642A08"/>
    <w:rsid w:val="2F6B3D5E"/>
    <w:rsid w:val="2F713455"/>
    <w:rsid w:val="2F82551B"/>
    <w:rsid w:val="2F9C512A"/>
    <w:rsid w:val="301806C5"/>
    <w:rsid w:val="30237EFD"/>
    <w:rsid w:val="3038504E"/>
    <w:rsid w:val="309E3BB5"/>
    <w:rsid w:val="30A90E20"/>
    <w:rsid w:val="30F15DF1"/>
    <w:rsid w:val="30FD09E8"/>
    <w:rsid w:val="31411E14"/>
    <w:rsid w:val="31671216"/>
    <w:rsid w:val="31705EE7"/>
    <w:rsid w:val="32A147C6"/>
    <w:rsid w:val="32F5149A"/>
    <w:rsid w:val="331878B3"/>
    <w:rsid w:val="33266952"/>
    <w:rsid w:val="333C43C8"/>
    <w:rsid w:val="33C203FA"/>
    <w:rsid w:val="33EF5D17"/>
    <w:rsid w:val="34417506"/>
    <w:rsid w:val="344A4C83"/>
    <w:rsid w:val="34A8434C"/>
    <w:rsid w:val="35A5520D"/>
    <w:rsid w:val="365A12CD"/>
    <w:rsid w:val="367A14E3"/>
    <w:rsid w:val="36962F45"/>
    <w:rsid w:val="36F21165"/>
    <w:rsid w:val="37607D9B"/>
    <w:rsid w:val="38876E6F"/>
    <w:rsid w:val="38967039"/>
    <w:rsid w:val="39006F58"/>
    <w:rsid w:val="39014643"/>
    <w:rsid w:val="39A016A9"/>
    <w:rsid w:val="39CD4453"/>
    <w:rsid w:val="3A3848EE"/>
    <w:rsid w:val="3A500759"/>
    <w:rsid w:val="3A875750"/>
    <w:rsid w:val="3A950CE5"/>
    <w:rsid w:val="3AFE11CD"/>
    <w:rsid w:val="3B2F65C0"/>
    <w:rsid w:val="3BD778AE"/>
    <w:rsid w:val="3BDD207F"/>
    <w:rsid w:val="3BED297E"/>
    <w:rsid w:val="3C8F5568"/>
    <w:rsid w:val="3D497821"/>
    <w:rsid w:val="3DBE4137"/>
    <w:rsid w:val="3DF11075"/>
    <w:rsid w:val="3E0B0C1F"/>
    <w:rsid w:val="3E153A86"/>
    <w:rsid w:val="3E36326C"/>
    <w:rsid w:val="3F116709"/>
    <w:rsid w:val="3F756FB1"/>
    <w:rsid w:val="3F7F086D"/>
    <w:rsid w:val="3F930157"/>
    <w:rsid w:val="407B3ECD"/>
    <w:rsid w:val="409828D1"/>
    <w:rsid w:val="40C359DD"/>
    <w:rsid w:val="40DA6FCE"/>
    <w:rsid w:val="40DF6A92"/>
    <w:rsid w:val="40E1233A"/>
    <w:rsid w:val="40FE2CBD"/>
    <w:rsid w:val="411078E2"/>
    <w:rsid w:val="411176F4"/>
    <w:rsid w:val="412817B1"/>
    <w:rsid w:val="41705F75"/>
    <w:rsid w:val="41AB2002"/>
    <w:rsid w:val="41F12821"/>
    <w:rsid w:val="42254279"/>
    <w:rsid w:val="4258433B"/>
    <w:rsid w:val="425B4099"/>
    <w:rsid w:val="42D159E3"/>
    <w:rsid w:val="43004BD0"/>
    <w:rsid w:val="439A5B19"/>
    <w:rsid w:val="43BB2E87"/>
    <w:rsid w:val="43D210DC"/>
    <w:rsid w:val="449038F8"/>
    <w:rsid w:val="44A75898"/>
    <w:rsid w:val="44D55CD3"/>
    <w:rsid w:val="456D51DC"/>
    <w:rsid w:val="46225E22"/>
    <w:rsid w:val="47116B85"/>
    <w:rsid w:val="47680F28"/>
    <w:rsid w:val="479559FD"/>
    <w:rsid w:val="479842A7"/>
    <w:rsid w:val="47BC46CB"/>
    <w:rsid w:val="4816567B"/>
    <w:rsid w:val="491E67DC"/>
    <w:rsid w:val="492743DD"/>
    <w:rsid w:val="494D2A33"/>
    <w:rsid w:val="49611218"/>
    <w:rsid w:val="497E0E3E"/>
    <w:rsid w:val="49953CBC"/>
    <w:rsid w:val="49D943ED"/>
    <w:rsid w:val="4A027CAE"/>
    <w:rsid w:val="4A0B01DE"/>
    <w:rsid w:val="4A0B68F5"/>
    <w:rsid w:val="4A2B43F6"/>
    <w:rsid w:val="4A38057A"/>
    <w:rsid w:val="4A772DA1"/>
    <w:rsid w:val="4AA82444"/>
    <w:rsid w:val="4AB7136F"/>
    <w:rsid w:val="4B1530DD"/>
    <w:rsid w:val="4B286BE1"/>
    <w:rsid w:val="4B2B40F4"/>
    <w:rsid w:val="4B497EF7"/>
    <w:rsid w:val="4BB314DB"/>
    <w:rsid w:val="4BD90905"/>
    <w:rsid w:val="4BE16DB5"/>
    <w:rsid w:val="4C017B05"/>
    <w:rsid w:val="4C7220C2"/>
    <w:rsid w:val="4CD8088A"/>
    <w:rsid w:val="4D8D78A2"/>
    <w:rsid w:val="4DDA2F75"/>
    <w:rsid w:val="4E640EBB"/>
    <w:rsid w:val="4E8625C9"/>
    <w:rsid w:val="4E885A5A"/>
    <w:rsid w:val="4E892C28"/>
    <w:rsid w:val="4EB206DF"/>
    <w:rsid w:val="4F073684"/>
    <w:rsid w:val="4F140F2B"/>
    <w:rsid w:val="4F142B2F"/>
    <w:rsid w:val="4FA6447F"/>
    <w:rsid w:val="4FA95826"/>
    <w:rsid w:val="4FFE6916"/>
    <w:rsid w:val="501B7B51"/>
    <w:rsid w:val="50796E13"/>
    <w:rsid w:val="50E276E2"/>
    <w:rsid w:val="51A62078"/>
    <w:rsid w:val="51D46A55"/>
    <w:rsid w:val="51E5498F"/>
    <w:rsid w:val="51F320B0"/>
    <w:rsid w:val="52623ABC"/>
    <w:rsid w:val="52733F35"/>
    <w:rsid w:val="52770B21"/>
    <w:rsid w:val="52B52B6B"/>
    <w:rsid w:val="52D27752"/>
    <w:rsid w:val="52EA6E73"/>
    <w:rsid w:val="53682217"/>
    <w:rsid w:val="537568FD"/>
    <w:rsid w:val="537E008F"/>
    <w:rsid w:val="53C934D6"/>
    <w:rsid w:val="54296415"/>
    <w:rsid w:val="54696247"/>
    <w:rsid w:val="54744E85"/>
    <w:rsid w:val="5489757F"/>
    <w:rsid w:val="548F56EE"/>
    <w:rsid w:val="54A26E92"/>
    <w:rsid w:val="550E1616"/>
    <w:rsid w:val="5560777D"/>
    <w:rsid w:val="557B4AC8"/>
    <w:rsid w:val="55AB240F"/>
    <w:rsid w:val="55D12837"/>
    <w:rsid w:val="56430BF0"/>
    <w:rsid w:val="566E5889"/>
    <w:rsid w:val="56721793"/>
    <w:rsid w:val="56930E67"/>
    <w:rsid w:val="56C52C23"/>
    <w:rsid w:val="56DD550F"/>
    <w:rsid w:val="57171CBF"/>
    <w:rsid w:val="57542CA2"/>
    <w:rsid w:val="57A17F36"/>
    <w:rsid w:val="57A4689E"/>
    <w:rsid w:val="57AA621C"/>
    <w:rsid w:val="57B40121"/>
    <w:rsid w:val="581D03D9"/>
    <w:rsid w:val="58337BB2"/>
    <w:rsid w:val="58772BA1"/>
    <w:rsid w:val="58937D37"/>
    <w:rsid w:val="58A71EE3"/>
    <w:rsid w:val="58B84A23"/>
    <w:rsid w:val="58E3769E"/>
    <w:rsid w:val="58EB4B76"/>
    <w:rsid w:val="59076504"/>
    <w:rsid w:val="593629D6"/>
    <w:rsid w:val="596040BD"/>
    <w:rsid w:val="59737E8C"/>
    <w:rsid w:val="5AD05868"/>
    <w:rsid w:val="5ADC30C6"/>
    <w:rsid w:val="5AF44B1E"/>
    <w:rsid w:val="5B043F67"/>
    <w:rsid w:val="5B3A6D05"/>
    <w:rsid w:val="5B3F6067"/>
    <w:rsid w:val="5BCA56F5"/>
    <w:rsid w:val="5BE15986"/>
    <w:rsid w:val="5C11343E"/>
    <w:rsid w:val="5CB20264"/>
    <w:rsid w:val="5CC85434"/>
    <w:rsid w:val="5CFB31E1"/>
    <w:rsid w:val="5D2606F1"/>
    <w:rsid w:val="5D833E91"/>
    <w:rsid w:val="5E421FE3"/>
    <w:rsid w:val="5E6253AE"/>
    <w:rsid w:val="5EAC1A1F"/>
    <w:rsid w:val="5EB8384F"/>
    <w:rsid w:val="5F3A344E"/>
    <w:rsid w:val="5F4C0C3F"/>
    <w:rsid w:val="5FC42B1A"/>
    <w:rsid w:val="5FCE5A01"/>
    <w:rsid w:val="5FE80968"/>
    <w:rsid w:val="60724183"/>
    <w:rsid w:val="60E365AC"/>
    <w:rsid w:val="6100493B"/>
    <w:rsid w:val="610D0ABC"/>
    <w:rsid w:val="610F0A45"/>
    <w:rsid w:val="61245225"/>
    <w:rsid w:val="612B5887"/>
    <w:rsid w:val="61B20D1F"/>
    <w:rsid w:val="62363C22"/>
    <w:rsid w:val="627B5AC3"/>
    <w:rsid w:val="62A74A08"/>
    <w:rsid w:val="62B33262"/>
    <w:rsid w:val="62B33466"/>
    <w:rsid w:val="62E01743"/>
    <w:rsid w:val="632D2F70"/>
    <w:rsid w:val="63865488"/>
    <w:rsid w:val="63B56554"/>
    <w:rsid w:val="63C536C6"/>
    <w:rsid w:val="63F45964"/>
    <w:rsid w:val="648308C7"/>
    <w:rsid w:val="649B5495"/>
    <w:rsid w:val="64A12104"/>
    <w:rsid w:val="64B92960"/>
    <w:rsid w:val="64BA69DC"/>
    <w:rsid w:val="65502DD8"/>
    <w:rsid w:val="65E04285"/>
    <w:rsid w:val="65F3370F"/>
    <w:rsid w:val="66B9509F"/>
    <w:rsid w:val="66BC730D"/>
    <w:rsid w:val="66F145A6"/>
    <w:rsid w:val="672D00C1"/>
    <w:rsid w:val="679E2C90"/>
    <w:rsid w:val="67D84FDA"/>
    <w:rsid w:val="680429F2"/>
    <w:rsid w:val="68445B8F"/>
    <w:rsid w:val="689478DF"/>
    <w:rsid w:val="690C30E6"/>
    <w:rsid w:val="698403BA"/>
    <w:rsid w:val="6A50275D"/>
    <w:rsid w:val="6A5C5208"/>
    <w:rsid w:val="6A635710"/>
    <w:rsid w:val="6A7167E5"/>
    <w:rsid w:val="6A8D12B7"/>
    <w:rsid w:val="6AC65D4A"/>
    <w:rsid w:val="6AD42261"/>
    <w:rsid w:val="6AF1334A"/>
    <w:rsid w:val="6B330130"/>
    <w:rsid w:val="6B84484D"/>
    <w:rsid w:val="6C044D7B"/>
    <w:rsid w:val="6C246A5F"/>
    <w:rsid w:val="6C32537B"/>
    <w:rsid w:val="6C900236"/>
    <w:rsid w:val="6CE03D84"/>
    <w:rsid w:val="6DD929A4"/>
    <w:rsid w:val="6E125FF8"/>
    <w:rsid w:val="6E853AC7"/>
    <w:rsid w:val="6EB8009F"/>
    <w:rsid w:val="6EDA1261"/>
    <w:rsid w:val="6EDF73DA"/>
    <w:rsid w:val="6F0B4673"/>
    <w:rsid w:val="6F60676D"/>
    <w:rsid w:val="6F992999"/>
    <w:rsid w:val="6FE0776D"/>
    <w:rsid w:val="6FFE1AE2"/>
    <w:rsid w:val="70337C47"/>
    <w:rsid w:val="7087187F"/>
    <w:rsid w:val="70C510A8"/>
    <w:rsid w:val="70C722AF"/>
    <w:rsid w:val="70E9243E"/>
    <w:rsid w:val="712344FE"/>
    <w:rsid w:val="714125CE"/>
    <w:rsid w:val="71632544"/>
    <w:rsid w:val="716C51ED"/>
    <w:rsid w:val="71951611"/>
    <w:rsid w:val="719753C5"/>
    <w:rsid w:val="720B7CDC"/>
    <w:rsid w:val="72330169"/>
    <w:rsid w:val="72600832"/>
    <w:rsid w:val="72635F46"/>
    <w:rsid w:val="727A4007"/>
    <w:rsid w:val="731F7BB0"/>
    <w:rsid w:val="732E6B82"/>
    <w:rsid w:val="73401131"/>
    <w:rsid w:val="735A7478"/>
    <w:rsid w:val="73730FAE"/>
    <w:rsid w:val="73985F5C"/>
    <w:rsid w:val="73CA68AB"/>
    <w:rsid w:val="7497046F"/>
    <w:rsid w:val="749C7460"/>
    <w:rsid w:val="750055E8"/>
    <w:rsid w:val="751458CD"/>
    <w:rsid w:val="75693EA1"/>
    <w:rsid w:val="75AC2807"/>
    <w:rsid w:val="7607222C"/>
    <w:rsid w:val="76282DE2"/>
    <w:rsid w:val="76393536"/>
    <w:rsid w:val="76552057"/>
    <w:rsid w:val="769B2141"/>
    <w:rsid w:val="777E619C"/>
    <w:rsid w:val="77903843"/>
    <w:rsid w:val="77CB336A"/>
    <w:rsid w:val="78316464"/>
    <w:rsid w:val="78A27B78"/>
    <w:rsid w:val="78F71EA3"/>
    <w:rsid w:val="78FF3476"/>
    <w:rsid w:val="795F2102"/>
    <w:rsid w:val="7988298D"/>
    <w:rsid w:val="79901507"/>
    <w:rsid w:val="79A35503"/>
    <w:rsid w:val="79CC38DF"/>
    <w:rsid w:val="79F70472"/>
    <w:rsid w:val="7A9E4389"/>
    <w:rsid w:val="7AD27D9D"/>
    <w:rsid w:val="7AD70238"/>
    <w:rsid w:val="7B452CBB"/>
    <w:rsid w:val="7B472AFE"/>
    <w:rsid w:val="7B971B69"/>
    <w:rsid w:val="7B9C4112"/>
    <w:rsid w:val="7BD274B2"/>
    <w:rsid w:val="7BD430BE"/>
    <w:rsid w:val="7BE242E5"/>
    <w:rsid w:val="7BEB5610"/>
    <w:rsid w:val="7C581052"/>
    <w:rsid w:val="7CD25A4D"/>
    <w:rsid w:val="7CD6006E"/>
    <w:rsid w:val="7CF53162"/>
    <w:rsid w:val="7D065993"/>
    <w:rsid w:val="7D1D1370"/>
    <w:rsid w:val="7D346D10"/>
    <w:rsid w:val="7D4D542B"/>
    <w:rsid w:val="7E1352F2"/>
    <w:rsid w:val="7E404581"/>
    <w:rsid w:val="7E603096"/>
    <w:rsid w:val="7E832126"/>
    <w:rsid w:val="7EB124FD"/>
    <w:rsid w:val="7EB9677F"/>
    <w:rsid w:val="7EDC09F8"/>
    <w:rsid w:val="7F0044B5"/>
    <w:rsid w:val="7F11635C"/>
    <w:rsid w:val="7F3845F8"/>
    <w:rsid w:val="7F9F3B25"/>
    <w:rsid w:val="7FCF5B15"/>
    <w:rsid w:val="7FE44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批注框文本 Char"/>
    <w:link w:val="4"/>
    <w:uiPriority w:val="0"/>
    <w:rPr>
      <w:kern w:val="2"/>
      <w:sz w:val="18"/>
      <w:szCs w:val="18"/>
    </w:rPr>
  </w:style>
  <w:style w:type="character" w:customStyle="1" w:styleId="11">
    <w:name w:val="页脚 Char"/>
    <w:link w:val="5"/>
    <w:uiPriority w:val="99"/>
    <w:rPr>
      <w:kern w:val="2"/>
      <w:sz w:val="18"/>
      <w:szCs w:val="18"/>
    </w:rPr>
  </w:style>
  <w:style w:type="character" w:customStyle="1" w:styleId="12">
    <w:name w:val="页眉 Char"/>
    <w:link w:val="6"/>
    <w:uiPriority w:val="0"/>
    <w:rPr>
      <w:kern w:val="2"/>
      <w:sz w:val="18"/>
      <w:szCs w:val="18"/>
    </w:rPr>
  </w:style>
  <w:style w:type="character" w:customStyle="1" w:styleId="13">
    <w:name w:val="font11"/>
    <w:basedOn w:val="8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01"/>
    <w:basedOn w:val="8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3292</Words>
  <Characters>3610</Characters>
  <Lines>16</Lines>
  <Paragraphs>4</Paragraphs>
  <TotalTime>85</TotalTime>
  <ScaleCrop>false</ScaleCrop>
  <LinksUpToDate>false</LinksUpToDate>
  <CharactersWithSpaces>3832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2017-11-08T07:23:00Z</dcterms:created>
  <dc:creator>高立朝 10.104.97.45</dc:creator>
  <cp:lastModifiedBy>cz</cp:lastModifiedBy>
  <cp:lastPrinted>2025-03-17T03:04:55Z</cp:lastPrinted>
  <dcterms:modified xsi:type="dcterms:W3CDTF">2025-06-26T02:54:28Z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50DD8D6E3FF34948964E88B71B0636B6_13</vt:lpwstr>
  </property>
  <property fmtid="{D5CDD505-2E9C-101B-9397-08002B2CF9AE}" pid="4" name="KSOTemplateDocerSaveRecord">
    <vt:lpwstr>eyJoZGlkIjoiZjkyOTIyYmU4NDVhYjg2MWY1NWMwNTgwMTdhOGVkN2EifQ==</vt:lpwstr>
  </property>
</Properties>
</file>