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164" w:rsidRDefault="003C3164">
      <w:pPr>
        <w:pStyle w:val="Default"/>
        <w:jc w:val="center"/>
        <w:rPr>
          <w:sz w:val="56"/>
          <w:szCs w:val="56"/>
        </w:rPr>
      </w:pPr>
    </w:p>
    <w:p w:rsidR="003C3164" w:rsidRDefault="003C3164">
      <w:pPr>
        <w:pStyle w:val="Default"/>
        <w:jc w:val="center"/>
        <w:rPr>
          <w:sz w:val="56"/>
          <w:szCs w:val="56"/>
        </w:rPr>
      </w:pPr>
    </w:p>
    <w:p w:rsidR="003C3164" w:rsidRDefault="003C3164">
      <w:pPr>
        <w:pStyle w:val="Default"/>
        <w:jc w:val="center"/>
        <w:rPr>
          <w:sz w:val="84"/>
          <w:szCs w:val="84"/>
        </w:rPr>
      </w:pPr>
    </w:p>
    <w:p w:rsidR="003C3164" w:rsidRDefault="003C3164">
      <w:pPr>
        <w:pStyle w:val="Default"/>
        <w:jc w:val="center"/>
        <w:rPr>
          <w:sz w:val="84"/>
          <w:szCs w:val="84"/>
        </w:rPr>
      </w:pPr>
    </w:p>
    <w:p w:rsidR="003C3164" w:rsidRDefault="00526EF3">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202</w:t>
      </w:r>
      <w:r>
        <w:rPr>
          <w:rFonts w:ascii="方正小标宋_GBK" w:eastAsia="方正小标宋_GBK" w:hAnsi="方正小标宋_GBK" w:cs="方正小标宋_GBK" w:hint="eastAsia"/>
          <w:sz w:val="84"/>
          <w:szCs w:val="84"/>
        </w:rPr>
        <w:t>2</w:t>
      </w:r>
      <w:r>
        <w:rPr>
          <w:rFonts w:ascii="方正小标宋_GBK" w:eastAsia="方正小标宋_GBK" w:hAnsi="方正小标宋_GBK" w:cs="方正小标宋_GBK" w:hint="eastAsia"/>
          <w:sz w:val="84"/>
          <w:szCs w:val="84"/>
        </w:rPr>
        <w:t>年度</w:t>
      </w:r>
    </w:p>
    <w:p w:rsidR="003C3164" w:rsidRDefault="00526EF3">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湖南潇湘技师学院</w:t>
      </w:r>
      <w:r>
        <w:rPr>
          <w:rFonts w:ascii="方正小标宋_GBK" w:eastAsia="方正小标宋_GBK" w:hAnsi="方正小标宋_GBK" w:cs="方正小标宋_GBK" w:hint="eastAsia"/>
          <w:sz w:val="84"/>
          <w:szCs w:val="84"/>
        </w:rPr>
        <w:t>部门决算</w:t>
      </w:r>
    </w:p>
    <w:p w:rsidR="003C3164" w:rsidRDefault="003C3164">
      <w:pPr>
        <w:pStyle w:val="Default"/>
        <w:jc w:val="center"/>
        <w:rPr>
          <w:rFonts w:ascii="方正小标宋_GBK" w:eastAsia="方正小标宋_GBK" w:hAnsi="方正小标宋_GBK" w:cs="方正小标宋_GBK"/>
          <w:sz w:val="56"/>
          <w:szCs w:val="56"/>
        </w:rPr>
      </w:pPr>
    </w:p>
    <w:p w:rsidR="003C3164" w:rsidRDefault="003C3164">
      <w:pPr>
        <w:pStyle w:val="Default"/>
        <w:jc w:val="center"/>
        <w:rPr>
          <w:sz w:val="56"/>
          <w:szCs w:val="56"/>
        </w:rPr>
      </w:pPr>
    </w:p>
    <w:p w:rsidR="003C3164" w:rsidRDefault="003C3164">
      <w:pPr>
        <w:pStyle w:val="Default"/>
        <w:jc w:val="center"/>
        <w:rPr>
          <w:sz w:val="56"/>
          <w:szCs w:val="56"/>
        </w:rPr>
      </w:pPr>
    </w:p>
    <w:p w:rsidR="003C3164" w:rsidRDefault="003C3164">
      <w:pPr>
        <w:pStyle w:val="Default"/>
        <w:jc w:val="center"/>
        <w:rPr>
          <w:sz w:val="56"/>
          <w:szCs w:val="56"/>
        </w:rPr>
      </w:pPr>
    </w:p>
    <w:p w:rsidR="003C3164" w:rsidRDefault="003C3164">
      <w:pPr>
        <w:pStyle w:val="Default"/>
        <w:jc w:val="center"/>
        <w:rPr>
          <w:sz w:val="32"/>
          <w:szCs w:val="32"/>
        </w:rPr>
      </w:pPr>
    </w:p>
    <w:p w:rsidR="003C3164" w:rsidRDefault="003C3164">
      <w:pPr>
        <w:pStyle w:val="Default"/>
        <w:jc w:val="center"/>
        <w:rPr>
          <w:sz w:val="32"/>
          <w:szCs w:val="32"/>
        </w:rPr>
      </w:pPr>
    </w:p>
    <w:p w:rsidR="003C3164" w:rsidRDefault="003C3164">
      <w:pPr>
        <w:pStyle w:val="Default"/>
        <w:jc w:val="center"/>
        <w:rPr>
          <w:sz w:val="32"/>
          <w:szCs w:val="32"/>
        </w:rPr>
      </w:pPr>
    </w:p>
    <w:p w:rsidR="003C3164" w:rsidRDefault="003C3164">
      <w:pPr>
        <w:pStyle w:val="Default"/>
        <w:jc w:val="center"/>
        <w:rPr>
          <w:sz w:val="32"/>
          <w:szCs w:val="32"/>
        </w:rPr>
      </w:pPr>
    </w:p>
    <w:p w:rsidR="003C3164" w:rsidRDefault="003C3164">
      <w:pPr>
        <w:pStyle w:val="Default"/>
        <w:jc w:val="center"/>
        <w:rPr>
          <w:sz w:val="32"/>
          <w:szCs w:val="32"/>
        </w:rPr>
      </w:pPr>
    </w:p>
    <w:p w:rsidR="003C3164" w:rsidRDefault="003C3164">
      <w:pPr>
        <w:pStyle w:val="Default"/>
        <w:spacing w:line="540" w:lineRule="exact"/>
        <w:jc w:val="center"/>
        <w:rPr>
          <w:sz w:val="56"/>
          <w:szCs w:val="56"/>
        </w:rPr>
      </w:pPr>
    </w:p>
    <w:p w:rsidR="003C3164" w:rsidRDefault="003C3164">
      <w:pPr>
        <w:pStyle w:val="Default"/>
        <w:spacing w:line="500" w:lineRule="exact"/>
        <w:jc w:val="both"/>
        <w:rPr>
          <w:b/>
          <w:sz w:val="36"/>
          <w:szCs w:val="28"/>
        </w:rPr>
      </w:pPr>
    </w:p>
    <w:p w:rsidR="003C3164" w:rsidRDefault="00526EF3">
      <w:pPr>
        <w:pStyle w:val="Default"/>
        <w:spacing w:line="500" w:lineRule="exact"/>
        <w:jc w:val="center"/>
        <w:rPr>
          <w:b/>
          <w:sz w:val="36"/>
          <w:szCs w:val="28"/>
        </w:rPr>
      </w:pPr>
      <w:r>
        <w:rPr>
          <w:rFonts w:hint="eastAsia"/>
          <w:b/>
          <w:sz w:val="36"/>
          <w:szCs w:val="28"/>
        </w:rPr>
        <w:lastRenderedPageBreak/>
        <w:t>目录</w:t>
      </w:r>
    </w:p>
    <w:p w:rsidR="003C3164" w:rsidRDefault="00526EF3">
      <w:pPr>
        <w:pStyle w:val="Default"/>
        <w:spacing w:line="500" w:lineRule="exact"/>
        <w:rPr>
          <w:rFonts w:hAnsi="黑体"/>
          <w:bCs/>
          <w:sz w:val="28"/>
          <w:szCs w:val="28"/>
        </w:rPr>
      </w:pPr>
      <w:r>
        <w:rPr>
          <w:rFonts w:hAnsi="黑体" w:hint="eastAsia"/>
          <w:bCs/>
          <w:sz w:val="28"/>
          <w:szCs w:val="28"/>
        </w:rPr>
        <w:t>第一部分</w:t>
      </w:r>
      <w:r>
        <w:rPr>
          <w:rFonts w:hAnsi="黑体" w:hint="eastAsia"/>
          <w:bCs/>
          <w:sz w:val="28"/>
          <w:szCs w:val="28"/>
        </w:rPr>
        <w:t xml:space="preserve"> </w:t>
      </w:r>
      <w:r>
        <w:rPr>
          <w:rFonts w:hAnsi="黑体" w:hint="eastAsia"/>
          <w:bCs/>
          <w:sz w:val="28"/>
          <w:szCs w:val="28"/>
        </w:rPr>
        <w:t>湖南潇湘技师学院</w:t>
      </w:r>
      <w:r>
        <w:rPr>
          <w:rFonts w:hAnsi="黑体" w:hint="eastAsia"/>
          <w:bCs/>
          <w:sz w:val="28"/>
          <w:szCs w:val="28"/>
        </w:rPr>
        <w:t>概况</w:t>
      </w:r>
    </w:p>
    <w:p w:rsidR="003C3164" w:rsidRDefault="00526EF3">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一、部门职责</w:t>
      </w:r>
    </w:p>
    <w:p w:rsidR="003C3164" w:rsidRDefault="00526EF3">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二、机构设置</w:t>
      </w:r>
    </w:p>
    <w:p w:rsidR="003C3164" w:rsidRDefault="00526EF3">
      <w:pPr>
        <w:pStyle w:val="Default"/>
        <w:spacing w:line="500" w:lineRule="exact"/>
        <w:rPr>
          <w:rFonts w:hAnsi="黑体"/>
          <w:bCs/>
          <w:sz w:val="28"/>
          <w:szCs w:val="28"/>
        </w:rPr>
      </w:pPr>
      <w:r>
        <w:rPr>
          <w:rFonts w:hAnsi="黑体" w:hint="eastAsia"/>
          <w:bCs/>
          <w:sz w:val="28"/>
          <w:szCs w:val="28"/>
        </w:rPr>
        <w:t>第二部分</w:t>
      </w:r>
      <w:r>
        <w:rPr>
          <w:rFonts w:hAnsi="黑体" w:hint="eastAsia"/>
          <w:bCs/>
          <w:sz w:val="28"/>
          <w:szCs w:val="28"/>
        </w:rPr>
        <w:t xml:space="preserve"> </w:t>
      </w:r>
      <w:r>
        <w:rPr>
          <w:rFonts w:hAnsi="黑体" w:hint="eastAsia"/>
          <w:bCs/>
          <w:sz w:val="28"/>
          <w:szCs w:val="28"/>
        </w:rPr>
        <w:t>部门决算表</w:t>
      </w:r>
      <w:r>
        <w:rPr>
          <w:rFonts w:ascii="仿宋_GB2312" w:eastAsia="仿宋_GB2312" w:hAnsi="仿宋_GB2312" w:cs="仿宋_GB2312" w:hint="eastAsia"/>
          <w:sz w:val="28"/>
          <w:szCs w:val="28"/>
        </w:rPr>
        <w:t>（说明：</w:t>
      </w:r>
      <w:r>
        <w:rPr>
          <w:rFonts w:ascii="仿宋_GB2312" w:eastAsia="仿宋_GB2312" w:hAnsi="仿宋_GB2312" w:cs="仿宋_GB2312" w:hint="eastAsia"/>
          <w:sz w:val="28"/>
          <w:szCs w:val="28"/>
        </w:rPr>
        <w:t>本套报表金额单位转换时可能存在尾数误差。</w:t>
      </w:r>
      <w:r>
        <w:rPr>
          <w:rFonts w:ascii="仿宋_GB2312" w:eastAsia="仿宋_GB2312" w:hAnsi="仿宋_GB2312" w:cs="仿宋_GB2312" w:hint="eastAsia"/>
          <w:sz w:val="28"/>
          <w:szCs w:val="28"/>
        </w:rPr>
        <w:t>）</w:t>
      </w:r>
    </w:p>
    <w:p w:rsidR="003C3164" w:rsidRDefault="00526EF3">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一、收入支出决算总表</w:t>
      </w:r>
    </w:p>
    <w:p w:rsidR="003C3164" w:rsidRDefault="00526EF3">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二、收入决算表</w:t>
      </w:r>
    </w:p>
    <w:p w:rsidR="003C3164" w:rsidRDefault="00526EF3">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三、支出决算表</w:t>
      </w:r>
    </w:p>
    <w:p w:rsidR="003C3164" w:rsidRDefault="00526EF3">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四、财政拨款收入支出决算总表</w:t>
      </w:r>
    </w:p>
    <w:p w:rsidR="003C3164" w:rsidRDefault="00526EF3">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五、一般公共预算财政拨款支出决算表</w:t>
      </w:r>
    </w:p>
    <w:p w:rsidR="003C3164" w:rsidRDefault="00526EF3">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六、一般公共预算财政拨款基本支出决算明细表</w:t>
      </w:r>
    </w:p>
    <w:p w:rsidR="003C3164" w:rsidRDefault="00526EF3">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七、政府性基金预算财政拨款收入支出决算表</w:t>
      </w:r>
    </w:p>
    <w:p w:rsidR="003C3164" w:rsidRDefault="00526EF3">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八、国有资本经营预算财政拨款支出决算表</w:t>
      </w:r>
    </w:p>
    <w:p w:rsidR="003C3164" w:rsidRDefault="00526EF3">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九、财政拨款“三公”经费支出决算表</w:t>
      </w:r>
    </w:p>
    <w:p w:rsidR="003C3164" w:rsidRDefault="00526EF3">
      <w:pPr>
        <w:pStyle w:val="Default"/>
        <w:spacing w:line="500" w:lineRule="exact"/>
        <w:rPr>
          <w:rFonts w:hAnsi="黑体"/>
          <w:bCs/>
          <w:sz w:val="28"/>
          <w:szCs w:val="28"/>
        </w:rPr>
      </w:pPr>
      <w:r>
        <w:rPr>
          <w:rFonts w:hAnsi="黑体" w:hint="eastAsia"/>
          <w:bCs/>
          <w:sz w:val="28"/>
          <w:szCs w:val="28"/>
        </w:rPr>
        <w:t>第三部分</w:t>
      </w:r>
      <w:r>
        <w:rPr>
          <w:rFonts w:hAnsi="黑体" w:hint="eastAsia"/>
          <w:bCs/>
          <w:sz w:val="28"/>
          <w:szCs w:val="28"/>
        </w:rPr>
        <w:t xml:space="preserve"> </w:t>
      </w:r>
      <w:r>
        <w:rPr>
          <w:rFonts w:hAnsi="黑体" w:hint="eastAsia"/>
          <w:bCs/>
          <w:sz w:val="28"/>
          <w:szCs w:val="28"/>
        </w:rPr>
        <w:t>部门决算情况说明</w:t>
      </w:r>
    </w:p>
    <w:p w:rsidR="003C3164" w:rsidRDefault="00526EF3">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一、收入支出决算总体情况说明</w:t>
      </w:r>
    </w:p>
    <w:p w:rsidR="003C3164" w:rsidRDefault="00526EF3">
      <w:pPr>
        <w:spacing w:line="500" w:lineRule="exact"/>
        <w:ind w:firstLineChars="250" w:firstLine="70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二、收入决算情况说明</w:t>
      </w:r>
    </w:p>
    <w:p w:rsidR="003C3164" w:rsidRDefault="00526EF3">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三、支出决算情况说明</w:t>
      </w:r>
    </w:p>
    <w:p w:rsidR="003C3164" w:rsidRDefault="00526EF3">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四、财政拨款收入支出决算总体情况说明</w:t>
      </w:r>
    </w:p>
    <w:p w:rsidR="003C3164" w:rsidRDefault="00526EF3">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五、一般公共预算财政拨款支出决算情况说明</w:t>
      </w:r>
    </w:p>
    <w:p w:rsidR="003C3164" w:rsidRDefault="00526EF3">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六、一般公共预算财政拨款基本支出决算情况说明</w:t>
      </w:r>
    </w:p>
    <w:p w:rsidR="003C3164" w:rsidRDefault="00526EF3">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七、财政拨款</w:t>
      </w:r>
      <w:r>
        <w:rPr>
          <w:rFonts w:ascii="仿宋_GB2312" w:eastAsia="仿宋_GB2312" w:hAnsi="仿宋_GB2312" w:cs="仿宋_GB2312" w:hint="eastAsia"/>
          <w:color w:val="000000"/>
          <w:kern w:val="0"/>
          <w:sz w:val="28"/>
          <w:szCs w:val="28"/>
        </w:rPr>
        <w:t>“</w:t>
      </w:r>
      <w:r>
        <w:rPr>
          <w:rFonts w:ascii="仿宋_GB2312" w:eastAsia="仿宋_GB2312" w:hAnsi="仿宋_GB2312" w:cs="仿宋_GB2312" w:hint="eastAsia"/>
          <w:color w:val="000000"/>
          <w:kern w:val="0"/>
          <w:sz w:val="28"/>
          <w:szCs w:val="28"/>
        </w:rPr>
        <w:t>三公</w:t>
      </w:r>
      <w:r>
        <w:rPr>
          <w:rFonts w:ascii="仿宋_GB2312" w:eastAsia="仿宋_GB2312" w:hAnsi="仿宋_GB2312" w:cs="仿宋_GB2312" w:hint="eastAsia"/>
          <w:color w:val="000000"/>
          <w:kern w:val="0"/>
          <w:sz w:val="28"/>
          <w:szCs w:val="28"/>
        </w:rPr>
        <w:t>”</w:t>
      </w:r>
      <w:r>
        <w:rPr>
          <w:rFonts w:ascii="仿宋_GB2312" w:eastAsia="仿宋_GB2312" w:hAnsi="仿宋_GB2312" w:cs="仿宋_GB2312" w:hint="eastAsia"/>
          <w:color w:val="000000"/>
          <w:kern w:val="0"/>
          <w:sz w:val="28"/>
          <w:szCs w:val="28"/>
        </w:rPr>
        <w:t>经费支出决算情况说明</w:t>
      </w:r>
    </w:p>
    <w:p w:rsidR="003C3164" w:rsidRDefault="00526EF3">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八、政府性基金预算收入支出决算情况</w:t>
      </w:r>
    </w:p>
    <w:p w:rsidR="003C3164" w:rsidRDefault="00526EF3">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九、关于机关运行经费支出说明</w:t>
      </w:r>
    </w:p>
    <w:p w:rsidR="003C3164" w:rsidRDefault="00526EF3">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十、一般性支出情况说明</w:t>
      </w:r>
    </w:p>
    <w:p w:rsidR="003C3164" w:rsidRDefault="00526EF3">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十一、关于政府采购支出说明</w:t>
      </w:r>
    </w:p>
    <w:p w:rsidR="003C3164" w:rsidRDefault="00526EF3">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十二、关于国有资产占用情况说明</w:t>
      </w:r>
    </w:p>
    <w:p w:rsidR="003C3164" w:rsidRDefault="00526EF3">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十三、关于预算绩效情况的说明</w:t>
      </w:r>
    </w:p>
    <w:p w:rsidR="003C3164" w:rsidRDefault="00526EF3">
      <w:pPr>
        <w:pStyle w:val="Default"/>
        <w:spacing w:line="500" w:lineRule="exact"/>
        <w:rPr>
          <w:rFonts w:hAnsi="黑体"/>
          <w:bCs/>
          <w:sz w:val="28"/>
          <w:szCs w:val="28"/>
        </w:rPr>
      </w:pPr>
      <w:r>
        <w:rPr>
          <w:rFonts w:hAnsi="黑体" w:hint="eastAsia"/>
          <w:bCs/>
          <w:sz w:val="28"/>
          <w:szCs w:val="28"/>
        </w:rPr>
        <w:t>第四部分</w:t>
      </w:r>
      <w:r>
        <w:rPr>
          <w:rFonts w:hAnsi="黑体" w:hint="eastAsia"/>
          <w:bCs/>
          <w:sz w:val="28"/>
          <w:szCs w:val="28"/>
        </w:rPr>
        <w:t xml:space="preserve"> </w:t>
      </w:r>
      <w:r>
        <w:rPr>
          <w:rFonts w:hAnsi="黑体" w:hint="eastAsia"/>
          <w:bCs/>
          <w:sz w:val="28"/>
          <w:szCs w:val="28"/>
        </w:rPr>
        <w:t>名词解释</w:t>
      </w:r>
    </w:p>
    <w:p w:rsidR="003C3164" w:rsidRDefault="003C3164">
      <w:pPr>
        <w:jc w:val="center"/>
        <w:rPr>
          <w:sz w:val="72"/>
          <w:szCs w:val="72"/>
        </w:rPr>
      </w:pPr>
    </w:p>
    <w:p w:rsidR="003C3164" w:rsidRDefault="003C3164">
      <w:pPr>
        <w:jc w:val="center"/>
        <w:rPr>
          <w:sz w:val="72"/>
          <w:szCs w:val="72"/>
        </w:rPr>
      </w:pPr>
    </w:p>
    <w:p w:rsidR="003C3164" w:rsidRDefault="003C3164">
      <w:pPr>
        <w:jc w:val="center"/>
        <w:rPr>
          <w:sz w:val="72"/>
          <w:szCs w:val="72"/>
        </w:rPr>
      </w:pPr>
    </w:p>
    <w:p w:rsidR="003C3164" w:rsidRDefault="003C3164">
      <w:pPr>
        <w:rPr>
          <w:rFonts w:ascii="方正小标宋_GBK" w:eastAsia="方正小标宋_GBK" w:hAnsi="方正小标宋_GBK" w:cs="方正小标宋_GBK"/>
          <w:sz w:val="72"/>
          <w:szCs w:val="72"/>
        </w:rPr>
      </w:pPr>
    </w:p>
    <w:p w:rsidR="003C3164" w:rsidRDefault="00526EF3" w:rsidP="00FE1B86">
      <w:pPr>
        <w:pStyle w:val="Default"/>
        <w:jc w:val="center"/>
        <w:rPr>
          <w:rFonts w:ascii="方正小标宋_GBK" w:eastAsia="方正小标宋_GBK" w:hAnsi="方正小标宋_GBK" w:cs="方正小标宋_GBK" w:hint="eastAsia"/>
          <w:sz w:val="84"/>
          <w:szCs w:val="84"/>
        </w:rPr>
      </w:pPr>
      <w:r>
        <w:rPr>
          <w:rFonts w:ascii="方正小标宋_GBK" w:eastAsia="方正小标宋_GBK" w:hAnsi="方正小标宋_GBK" w:cs="方正小标宋_GBK" w:hint="eastAsia"/>
          <w:sz w:val="84"/>
          <w:szCs w:val="84"/>
        </w:rPr>
        <w:t>第一部分</w:t>
      </w:r>
      <w:r>
        <w:rPr>
          <w:rFonts w:ascii="方正小标宋_GBK" w:eastAsia="方正小标宋_GBK" w:hAnsi="方正小标宋_GBK" w:cs="方正小标宋_GBK" w:hint="eastAsia"/>
          <w:sz w:val="84"/>
          <w:szCs w:val="84"/>
        </w:rPr>
        <w:t xml:space="preserve"> </w:t>
      </w:r>
    </w:p>
    <w:p w:rsidR="003C3164" w:rsidRDefault="00526EF3">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湖南潇湘技师学院</w:t>
      </w:r>
      <w:r>
        <w:rPr>
          <w:rFonts w:ascii="方正小标宋_GBK" w:eastAsia="方正小标宋_GBK" w:hAnsi="方正小标宋_GBK" w:cs="方正小标宋_GBK" w:hint="eastAsia"/>
          <w:sz w:val="84"/>
          <w:szCs w:val="84"/>
        </w:rPr>
        <w:t>概况</w:t>
      </w:r>
    </w:p>
    <w:p w:rsidR="003C3164" w:rsidRDefault="003C3164">
      <w:pPr>
        <w:jc w:val="center"/>
        <w:rPr>
          <w:rFonts w:ascii="方正小标宋_GBK" w:eastAsia="方正小标宋_GBK" w:hAnsi="方正小标宋_GBK" w:cs="方正小标宋_GBK"/>
          <w:sz w:val="72"/>
          <w:szCs w:val="72"/>
        </w:rPr>
      </w:pPr>
    </w:p>
    <w:p w:rsidR="003C3164" w:rsidRDefault="003C3164">
      <w:pPr>
        <w:jc w:val="center"/>
        <w:rPr>
          <w:rFonts w:ascii="方正小标宋_GBK" w:eastAsia="方正小标宋_GBK" w:hAnsi="方正小标宋_GBK" w:cs="方正小标宋_GBK"/>
          <w:sz w:val="72"/>
          <w:szCs w:val="72"/>
        </w:rPr>
      </w:pPr>
    </w:p>
    <w:p w:rsidR="003C3164" w:rsidRDefault="003C3164">
      <w:pPr>
        <w:jc w:val="center"/>
        <w:rPr>
          <w:sz w:val="72"/>
          <w:szCs w:val="72"/>
        </w:rPr>
      </w:pPr>
    </w:p>
    <w:p w:rsidR="003C3164" w:rsidRDefault="003C3164">
      <w:pPr>
        <w:jc w:val="center"/>
        <w:rPr>
          <w:sz w:val="72"/>
          <w:szCs w:val="72"/>
        </w:rPr>
      </w:pPr>
    </w:p>
    <w:p w:rsidR="003C3164" w:rsidRDefault="003C3164">
      <w:pPr>
        <w:jc w:val="center"/>
        <w:rPr>
          <w:sz w:val="72"/>
          <w:szCs w:val="72"/>
        </w:rPr>
      </w:pPr>
    </w:p>
    <w:p w:rsidR="003C3164" w:rsidRDefault="003C3164">
      <w:pPr>
        <w:pStyle w:val="a9"/>
        <w:ind w:firstLineChars="300" w:firstLine="960"/>
        <w:jc w:val="left"/>
        <w:rPr>
          <w:rFonts w:ascii="黑体" w:eastAsia="黑体" w:hAnsi="黑体" w:cs="黑体"/>
          <w:sz w:val="32"/>
          <w:szCs w:val="32"/>
        </w:rPr>
      </w:pPr>
    </w:p>
    <w:p w:rsidR="003C3164" w:rsidRDefault="003C3164">
      <w:pPr>
        <w:pStyle w:val="a9"/>
        <w:ind w:firstLineChars="300" w:firstLine="960"/>
        <w:jc w:val="left"/>
        <w:rPr>
          <w:rFonts w:ascii="黑体" w:eastAsia="黑体" w:hAnsi="黑体" w:cs="黑体"/>
          <w:sz w:val="32"/>
          <w:szCs w:val="32"/>
        </w:rPr>
      </w:pPr>
    </w:p>
    <w:p w:rsidR="003C3164" w:rsidRDefault="003C3164">
      <w:pPr>
        <w:pStyle w:val="a9"/>
        <w:ind w:firstLineChars="300" w:firstLine="960"/>
        <w:jc w:val="left"/>
        <w:rPr>
          <w:rFonts w:ascii="黑体" w:eastAsia="黑体" w:hAnsi="黑体" w:cs="黑体"/>
          <w:sz w:val="32"/>
          <w:szCs w:val="32"/>
        </w:rPr>
      </w:pPr>
    </w:p>
    <w:p w:rsidR="00FE1B86" w:rsidRDefault="00FE1B86">
      <w:pPr>
        <w:pStyle w:val="a9"/>
        <w:ind w:firstLineChars="300" w:firstLine="960"/>
        <w:jc w:val="left"/>
        <w:rPr>
          <w:rFonts w:ascii="黑体" w:eastAsia="黑体" w:hAnsi="黑体" w:cs="黑体" w:hint="eastAsia"/>
          <w:sz w:val="32"/>
          <w:szCs w:val="32"/>
        </w:rPr>
      </w:pPr>
    </w:p>
    <w:p w:rsidR="003C3164" w:rsidRDefault="00526EF3">
      <w:pPr>
        <w:pStyle w:val="a9"/>
        <w:ind w:firstLine="640"/>
        <w:jc w:val="left"/>
        <w:rPr>
          <w:rFonts w:ascii="黑体" w:eastAsia="黑体" w:hAnsi="黑体" w:cs="黑体"/>
          <w:sz w:val="32"/>
          <w:szCs w:val="32"/>
        </w:rPr>
      </w:pPr>
      <w:r>
        <w:rPr>
          <w:rFonts w:ascii="黑体" w:eastAsia="黑体" w:hAnsi="黑体" w:cs="黑体" w:hint="eastAsia"/>
          <w:sz w:val="32"/>
          <w:szCs w:val="32"/>
        </w:rPr>
        <w:lastRenderedPageBreak/>
        <w:t>一、</w:t>
      </w:r>
      <w:r>
        <w:rPr>
          <w:rFonts w:ascii="黑体" w:eastAsia="黑体" w:hAnsi="黑体" w:cs="黑体" w:hint="eastAsia"/>
          <w:sz w:val="32"/>
          <w:szCs w:val="32"/>
        </w:rPr>
        <w:t>部门职责</w:t>
      </w:r>
    </w:p>
    <w:p w:rsidR="003C3164" w:rsidRDefault="00526EF3">
      <w:pPr>
        <w:widowControl/>
        <w:spacing w:line="600" w:lineRule="exact"/>
        <w:ind w:firstLineChars="200" w:firstLine="640"/>
        <w:rPr>
          <w:rFonts w:ascii="仿宋_GB2312" w:eastAsia="楷体_GB2312" w:hAnsi="仿宋_GB2312" w:cs="仿宋_GB2312"/>
          <w:bCs/>
          <w:kern w:val="0"/>
          <w:sz w:val="32"/>
          <w:szCs w:val="32"/>
        </w:rPr>
      </w:pPr>
      <w:r>
        <w:rPr>
          <w:rFonts w:ascii="仿宋_GB2312" w:eastAsia="仿宋_GB2312" w:hAnsi="仿宋_GB2312" w:cs="仿宋_GB2312" w:hint="eastAsia"/>
          <w:bCs/>
          <w:kern w:val="0"/>
          <w:sz w:val="32"/>
          <w:szCs w:val="32"/>
        </w:rPr>
        <w:t>湖南潇湘技师学院</w:t>
      </w:r>
      <w:r>
        <w:rPr>
          <w:rFonts w:ascii="仿宋_GB2312" w:eastAsia="仿宋_GB2312" w:hAnsi="仿宋_GB2312" w:cs="仿宋_GB2312" w:hint="eastAsia"/>
          <w:bCs/>
          <w:kern w:val="0"/>
          <w:sz w:val="32"/>
          <w:szCs w:val="32"/>
        </w:rPr>
        <w:t>履行学历教育、职业技能教育职责，面向省内外招生。承担多种培训任务：短期培训、技能人才培训、农民工培训、劳动力转移培训、企业职工培训、复员转业军人培训，以提高就业人员理论和实践水平。进行劳动职业技能鉴定，让劳动者具备上岗工作资格，持证上岗。与湖南九嶷职业技术学院合并办学，实行两块牌子一套人马。湖南九嶷职业技术学院是一所面向全国招生的全日制高等职业专科学校。</w:t>
      </w:r>
    </w:p>
    <w:p w:rsidR="003C3164" w:rsidRDefault="00526EF3">
      <w:pPr>
        <w:widowControl/>
        <w:spacing w:line="600" w:lineRule="exact"/>
        <w:ind w:firstLineChars="200" w:firstLine="640"/>
        <w:rPr>
          <w:rFonts w:ascii="黑体" w:eastAsia="黑体" w:hAnsi="黑体" w:cs="黑体"/>
          <w:kern w:val="0"/>
          <w:sz w:val="32"/>
          <w:szCs w:val="32"/>
        </w:rPr>
      </w:pPr>
      <w:r>
        <w:rPr>
          <w:rFonts w:ascii="黑体" w:eastAsia="黑体" w:hAnsi="黑体" w:cs="黑体" w:hint="eastAsia"/>
          <w:sz w:val="32"/>
          <w:szCs w:val="32"/>
        </w:rPr>
        <w:t>二、机构设置及决算单位构成</w:t>
      </w:r>
    </w:p>
    <w:p w:rsidR="003C3164" w:rsidRDefault="00526EF3">
      <w:pPr>
        <w:widowControl/>
        <w:spacing w:line="600" w:lineRule="exact"/>
        <w:ind w:firstLineChars="200" w:firstLine="643"/>
        <w:rPr>
          <w:rFonts w:ascii="仿宋_GB2312" w:eastAsia="仿宋_GB2312" w:hAnsi="仿宋_GB2312" w:cs="仿宋_GB2312"/>
          <w:b/>
          <w:color w:val="FF0000"/>
          <w:kern w:val="0"/>
          <w:sz w:val="32"/>
          <w:szCs w:val="32"/>
        </w:rPr>
      </w:pPr>
      <w:r>
        <w:rPr>
          <w:rFonts w:ascii="楷体_GB2312" w:eastAsia="楷体_GB2312" w:hAnsi="楷体_GB2312" w:cs="楷体_GB2312" w:hint="eastAsia"/>
          <w:b/>
          <w:kern w:val="0"/>
          <w:sz w:val="32"/>
          <w:szCs w:val="32"/>
        </w:rPr>
        <w:t>（一）内设机构设置。</w:t>
      </w:r>
      <w:r>
        <w:rPr>
          <w:rFonts w:ascii="Times New Roman" w:eastAsia="仿宋_GB2312" w:hAnsi="Times New Roman" w:cs="Times New Roman" w:hint="eastAsia"/>
          <w:sz w:val="32"/>
          <w:szCs w:val="32"/>
        </w:rPr>
        <w:t>湖南潇湘技师学院内设机构包括：党政办公室、组织人事处、宣传统战部、教务处、计划财务处、招生就业指导处、学生工作处、后勤保卫处、资产管理处、纪检监察室等</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个党政管理机构，教学督导与教学质量管理中心、科技研讨与孵化中心（创新创业中心）、图书馆等</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个教辅机构，机电工程系、汽车工程系、艺术设计系、经济管理系、信息工程系、公共课系、马克思主义学院、实训系、技能鉴定与短期培训教学系等</w:t>
      </w:r>
      <w:r>
        <w:rPr>
          <w:rFonts w:ascii="Times New Roman" w:eastAsia="仿宋_GB2312" w:hAnsi="Times New Roman" w:cs="Times New Roman" w:hint="eastAsia"/>
          <w:sz w:val="32"/>
          <w:szCs w:val="32"/>
        </w:rPr>
        <w:t>9</w:t>
      </w:r>
      <w:r>
        <w:rPr>
          <w:rFonts w:ascii="Times New Roman" w:eastAsia="仿宋_GB2312" w:hAnsi="Times New Roman" w:cs="Times New Roman" w:hint="eastAsia"/>
          <w:sz w:val="32"/>
          <w:szCs w:val="32"/>
        </w:rPr>
        <w:t>个教学机构。</w:t>
      </w:r>
    </w:p>
    <w:p w:rsidR="003C3164" w:rsidRDefault="00526EF3">
      <w:pPr>
        <w:widowControl/>
        <w:spacing w:line="600" w:lineRule="exact"/>
        <w:ind w:firstLineChars="200" w:firstLine="643"/>
        <w:rPr>
          <w:rFonts w:ascii="Times New Roman" w:eastAsia="仿宋_GB2312" w:hAnsi="Times New Roman" w:cs="黑体"/>
          <w:color w:val="000000"/>
          <w:kern w:val="0"/>
          <w:sz w:val="32"/>
          <w:szCs w:val="32"/>
        </w:rPr>
      </w:pPr>
      <w:r>
        <w:rPr>
          <w:rFonts w:ascii="楷体_GB2312" w:eastAsia="楷体_GB2312" w:hAnsi="楷体_GB2312" w:cs="楷体_GB2312" w:hint="eastAsia"/>
          <w:b/>
          <w:kern w:val="0"/>
          <w:sz w:val="32"/>
          <w:szCs w:val="32"/>
        </w:rPr>
        <w:t>（二）决算单位构成。</w:t>
      </w:r>
      <w:r>
        <w:rPr>
          <w:rFonts w:ascii="Times New Roman" w:eastAsia="仿宋_GB2312" w:hAnsi="Times New Roman" w:cs="Times New Roman" w:hint="eastAsia"/>
          <w:sz w:val="32"/>
          <w:szCs w:val="32"/>
        </w:rPr>
        <w:t>湖南潇湘技师学院</w:t>
      </w:r>
      <w:r>
        <w:rPr>
          <w:rFonts w:ascii="Times New Roman" w:eastAsia="仿宋_GB2312" w:hAnsi="Times New Roman" w:cs="黑体" w:hint="eastAsia"/>
          <w:color w:val="000000"/>
          <w:kern w:val="0"/>
          <w:sz w:val="32"/>
          <w:szCs w:val="32"/>
        </w:rPr>
        <w:t>2022</w:t>
      </w:r>
      <w:r>
        <w:rPr>
          <w:rFonts w:ascii="Times New Roman" w:eastAsia="仿宋_GB2312" w:hAnsi="Times New Roman" w:cs="黑体" w:hint="eastAsia"/>
          <w:color w:val="000000"/>
          <w:kern w:val="0"/>
          <w:sz w:val="32"/>
          <w:szCs w:val="32"/>
        </w:rPr>
        <w:t>年部门决算汇总公开单位构成包括：湖南潇湘技师学院本级。</w:t>
      </w:r>
    </w:p>
    <w:p w:rsidR="003C3164" w:rsidRDefault="003C3164">
      <w:pPr>
        <w:jc w:val="left"/>
        <w:rPr>
          <w:rFonts w:ascii="仿宋_GB2312" w:eastAsia="仿宋_GB2312" w:hAnsiTheme="minorEastAsia"/>
          <w:sz w:val="28"/>
          <w:szCs w:val="32"/>
        </w:rPr>
      </w:pPr>
    </w:p>
    <w:p w:rsidR="003C3164" w:rsidRDefault="003C3164">
      <w:pPr>
        <w:jc w:val="left"/>
        <w:rPr>
          <w:rFonts w:ascii="仿宋_GB2312" w:eastAsia="仿宋_GB2312" w:hAnsiTheme="minorEastAsia"/>
          <w:sz w:val="28"/>
          <w:szCs w:val="32"/>
        </w:rPr>
      </w:pPr>
    </w:p>
    <w:p w:rsidR="003C3164" w:rsidRDefault="003C3164">
      <w:pPr>
        <w:jc w:val="center"/>
        <w:rPr>
          <w:rFonts w:ascii="黑体" w:eastAsia="黑体" w:hAnsi="黑体"/>
          <w:sz w:val="28"/>
          <w:szCs w:val="28"/>
        </w:rPr>
      </w:pPr>
    </w:p>
    <w:p w:rsidR="003C3164" w:rsidRDefault="003C3164">
      <w:pPr>
        <w:jc w:val="center"/>
        <w:rPr>
          <w:rFonts w:ascii="黑体" w:eastAsia="黑体" w:hAnsi="黑体"/>
          <w:sz w:val="28"/>
          <w:szCs w:val="28"/>
        </w:rPr>
      </w:pPr>
    </w:p>
    <w:p w:rsidR="003C3164" w:rsidRDefault="003C3164">
      <w:pPr>
        <w:jc w:val="center"/>
        <w:rPr>
          <w:rFonts w:ascii="黑体" w:eastAsia="黑体" w:hAnsi="黑体"/>
          <w:sz w:val="28"/>
          <w:szCs w:val="28"/>
        </w:rPr>
      </w:pPr>
    </w:p>
    <w:p w:rsidR="003C3164" w:rsidRDefault="003C3164">
      <w:pPr>
        <w:jc w:val="center"/>
        <w:rPr>
          <w:rFonts w:ascii="黑体" w:eastAsia="黑体" w:hAnsi="黑体"/>
          <w:sz w:val="28"/>
          <w:szCs w:val="28"/>
        </w:rPr>
      </w:pPr>
    </w:p>
    <w:p w:rsidR="003C3164" w:rsidRDefault="003C3164">
      <w:pPr>
        <w:jc w:val="center"/>
        <w:rPr>
          <w:rFonts w:ascii="黑体" w:eastAsia="黑体" w:hAnsi="黑体"/>
          <w:sz w:val="28"/>
          <w:szCs w:val="28"/>
        </w:rPr>
      </w:pPr>
    </w:p>
    <w:p w:rsidR="003C3164" w:rsidRDefault="003C3164">
      <w:pPr>
        <w:jc w:val="center"/>
        <w:rPr>
          <w:rFonts w:ascii="黑体" w:eastAsia="黑体" w:hAnsi="黑体"/>
          <w:sz w:val="28"/>
          <w:szCs w:val="28"/>
        </w:rPr>
      </w:pPr>
    </w:p>
    <w:p w:rsidR="003C3164" w:rsidRDefault="003C3164">
      <w:pPr>
        <w:jc w:val="center"/>
        <w:rPr>
          <w:rFonts w:ascii="黑体" w:eastAsia="黑体" w:hAnsi="黑体"/>
          <w:sz w:val="28"/>
          <w:szCs w:val="28"/>
        </w:rPr>
      </w:pPr>
    </w:p>
    <w:p w:rsidR="003C3164" w:rsidRDefault="003C3164">
      <w:pPr>
        <w:jc w:val="center"/>
        <w:rPr>
          <w:rFonts w:ascii="黑体" w:eastAsia="黑体" w:hAnsi="黑体"/>
          <w:sz w:val="28"/>
          <w:szCs w:val="28"/>
        </w:rPr>
      </w:pPr>
    </w:p>
    <w:p w:rsidR="003C3164" w:rsidRDefault="003C3164">
      <w:pPr>
        <w:jc w:val="center"/>
        <w:rPr>
          <w:rFonts w:ascii="黑体" w:eastAsia="黑体" w:hAnsi="黑体"/>
          <w:sz w:val="28"/>
          <w:szCs w:val="28"/>
        </w:rPr>
      </w:pPr>
    </w:p>
    <w:p w:rsidR="003C3164" w:rsidRDefault="003C3164">
      <w:pPr>
        <w:jc w:val="center"/>
        <w:rPr>
          <w:rFonts w:ascii="黑体" w:eastAsia="黑体" w:hAnsi="黑体"/>
          <w:sz w:val="28"/>
          <w:szCs w:val="28"/>
        </w:rPr>
      </w:pPr>
    </w:p>
    <w:p w:rsidR="003C3164" w:rsidRDefault="003C3164">
      <w:pPr>
        <w:jc w:val="center"/>
        <w:rPr>
          <w:rFonts w:ascii="黑体" w:eastAsia="黑体" w:hAnsi="黑体"/>
          <w:sz w:val="28"/>
          <w:szCs w:val="28"/>
        </w:rPr>
      </w:pPr>
    </w:p>
    <w:p w:rsidR="003C3164" w:rsidRDefault="003C3164">
      <w:pPr>
        <w:pStyle w:val="Default"/>
        <w:jc w:val="both"/>
        <w:rPr>
          <w:rFonts w:ascii="方正小标宋_GBK" w:eastAsia="方正小标宋_GBK" w:hAnsi="方正小标宋_GBK" w:cs="方正小标宋_GBK"/>
          <w:sz w:val="84"/>
          <w:szCs w:val="84"/>
        </w:rPr>
      </w:pPr>
    </w:p>
    <w:p w:rsidR="003C3164" w:rsidRDefault="00526EF3">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第二部分</w:t>
      </w:r>
    </w:p>
    <w:p w:rsidR="003C3164" w:rsidRDefault="00526EF3">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部门决算表</w:t>
      </w:r>
    </w:p>
    <w:p w:rsidR="003C3164" w:rsidRDefault="00526EF3">
      <w:pPr>
        <w:jc w:val="center"/>
        <w:rPr>
          <w:rFonts w:ascii="楷体_GB2312" w:eastAsia="楷体_GB2312" w:hAnsi="楷体_GB2312" w:cs="楷体_GB2312"/>
          <w:b/>
          <w:bCs/>
          <w:color w:val="000000"/>
          <w:kern w:val="0"/>
          <w:sz w:val="52"/>
          <w:szCs w:val="52"/>
        </w:rPr>
      </w:pPr>
      <w:r>
        <w:rPr>
          <w:rFonts w:ascii="楷体_GB2312" w:eastAsia="楷体_GB2312" w:hAnsi="楷体_GB2312" w:cs="楷体_GB2312" w:hint="eastAsia"/>
          <w:b/>
          <w:bCs/>
          <w:color w:val="000000"/>
          <w:kern w:val="0"/>
          <w:sz w:val="52"/>
          <w:szCs w:val="52"/>
        </w:rPr>
        <w:t>（详见附表）</w:t>
      </w:r>
    </w:p>
    <w:p w:rsidR="003C3164" w:rsidRDefault="003C3164">
      <w:pPr>
        <w:jc w:val="left"/>
        <w:rPr>
          <w:rFonts w:asciiTheme="minorEastAsia" w:hAnsiTheme="minorEastAsia"/>
          <w:sz w:val="32"/>
          <w:szCs w:val="32"/>
        </w:rPr>
        <w:sectPr w:rsidR="003C3164">
          <w:pgSz w:w="11906" w:h="16838"/>
          <w:pgMar w:top="720" w:right="720" w:bottom="720" w:left="720" w:header="851" w:footer="992" w:gutter="0"/>
          <w:cols w:space="425"/>
          <w:docGrid w:type="lines" w:linePitch="312"/>
        </w:sectPr>
      </w:pPr>
    </w:p>
    <w:p w:rsidR="003C3164" w:rsidRDefault="003C3164">
      <w:pPr>
        <w:pStyle w:val="Default"/>
        <w:rPr>
          <w:sz w:val="72"/>
          <w:szCs w:val="72"/>
        </w:rPr>
      </w:pPr>
    </w:p>
    <w:p w:rsidR="003C3164" w:rsidRDefault="003C3164">
      <w:pPr>
        <w:pStyle w:val="Default"/>
        <w:rPr>
          <w:sz w:val="72"/>
          <w:szCs w:val="72"/>
        </w:rPr>
      </w:pPr>
    </w:p>
    <w:p w:rsidR="003C3164" w:rsidRDefault="003C3164">
      <w:pPr>
        <w:pStyle w:val="Default"/>
        <w:jc w:val="center"/>
        <w:rPr>
          <w:sz w:val="72"/>
          <w:szCs w:val="72"/>
        </w:rPr>
      </w:pPr>
    </w:p>
    <w:p w:rsidR="003C3164" w:rsidRDefault="003C3164">
      <w:pPr>
        <w:pStyle w:val="Default"/>
        <w:jc w:val="center"/>
        <w:rPr>
          <w:rFonts w:ascii="方正小标宋_GBK" w:eastAsia="方正小标宋_GBK" w:hAnsi="方正小标宋_GBK" w:cs="方正小标宋_GBK"/>
          <w:sz w:val="72"/>
          <w:szCs w:val="72"/>
        </w:rPr>
      </w:pPr>
    </w:p>
    <w:p w:rsidR="003C3164" w:rsidRDefault="00526EF3" w:rsidP="00FE1B86">
      <w:pPr>
        <w:pStyle w:val="Default"/>
        <w:jc w:val="center"/>
        <w:rPr>
          <w:rFonts w:ascii="方正小标宋_GBK" w:eastAsia="方正小标宋_GBK" w:hAnsi="方正小标宋_GBK" w:cs="方正小标宋_GBK" w:hint="eastAsia"/>
          <w:sz w:val="84"/>
          <w:szCs w:val="84"/>
        </w:rPr>
      </w:pPr>
      <w:r>
        <w:rPr>
          <w:rFonts w:ascii="方正小标宋_GBK" w:eastAsia="方正小标宋_GBK" w:hAnsi="方正小标宋_GBK" w:cs="方正小标宋_GBK" w:hint="eastAsia"/>
          <w:sz w:val="84"/>
          <w:szCs w:val="84"/>
        </w:rPr>
        <w:t>第三部分</w:t>
      </w:r>
    </w:p>
    <w:p w:rsidR="003C3164" w:rsidRDefault="00526EF3">
      <w:pPr>
        <w:pStyle w:val="Default"/>
        <w:jc w:val="center"/>
        <w:rPr>
          <w:rFonts w:ascii="方正小标宋_GBK" w:eastAsia="方正小标宋_GBK" w:hAnsi="方正小标宋_GBK" w:cs="方正小标宋_GBK"/>
          <w:sz w:val="70"/>
          <w:szCs w:val="70"/>
        </w:rPr>
      </w:pPr>
      <w:r>
        <w:rPr>
          <w:rFonts w:ascii="方正小标宋_GBK" w:eastAsia="方正小标宋_GBK" w:hAnsi="方正小标宋_GBK" w:cs="方正小标宋_GBK" w:hint="eastAsia"/>
          <w:sz w:val="84"/>
          <w:szCs w:val="84"/>
        </w:rPr>
        <w:t>202</w:t>
      </w:r>
      <w:r>
        <w:rPr>
          <w:rFonts w:ascii="方正小标宋_GBK" w:eastAsia="方正小标宋_GBK" w:hAnsi="方正小标宋_GBK" w:cs="方正小标宋_GBK" w:hint="eastAsia"/>
          <w:sz w:val="84"/>
          <w:szCs w:val="84"/>
        </w:rPr>
        <w:t>2</w:t>
      </w:r>
      <w:r>
        <w:rPr>
          <w:rFonts w:ascii="方正小标宋_GBK" w:eastAsia="方正小标宋_GBK" w:hAnsi="方正小标宋_GBK" w:cs="方正小标宋_GBK" w:hint="eastAsia"/>
          <w:sz w:val="84"/>
          <w:szCs w:val="84"/>
        </w:rPr>
        <w:t>年度部门决算情况说明</w:t>
      </w:r>
    </w:p>
    <w:p w:rsidR="003C3164" w:rsidRDefault="00526EF3">
      <w:pPr>
        <w:widowControl/>
        <w:jc w:val="left"/>
        <w:rPr>
          <w:rFonts w:asciiTheme="minorEastAsia" w:hAnsiTheme="minorEastAsia"/>
          <w:sz w:val="32"/>
          <w:szCs w:val="32"/>
        </w:rPr>
      </w:pPr>
      <w:r>
        <w:rPr>
          <w:rFonts w:ascii="方正小标宋_GBK" w:eastAsia="方正小标宋_GBK" w:hAnsi="方正小标宋_GBK" w:cs="方正小标宋_GBK" w:hint="eastAsia"/>
          <w:sz w:val="70"/>
          <w:szCs w:val="70"/>
        </w:rPr>
        <w:br w:type="page"/>
      </w:r>
    </w:p>
    <w:p w:rsidR="003C3164" w:rsidRDefault="00526EF3">
      <w:pPr>
        <w:pStyle w:val="Default"/>
        <w:spacing w:line="600" w:lineRule="exact"/>
        <w:ind w:firstLineChars="200" w:firstLine="640"/>
        <w:rPr>
          <w:rFonts w:hAnsi="黑体"/>
          <w:bCs/>
          <w:sz w:val="32"/>
          <w:szCs w:val="32"/>
        </w:rPr>
      </w:pPr>
      <w:r>
        <w:rPr>
          <w:rFonts w:hAnsi="黑体" w:hint="eastAsia"/>
          <w:bCs/>
          <w:sz w:val="32"/>
          <w:szCs w:val="32"/>
        </w:rPr>
        <w:lastRenderedPageBreak/>
        <w:t>一、收入支出决算总体情况说明</w:t>
      </w:r>
    </w:p>
    <w:p w:rsidR="003C3164" w:rsidRDefault="00526EF3">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w:t>
      </w:r>
      <w:r>
        <w:rPr>
          <w:rFonts w:ascii="Times New Roman" w:eastAsia="仿宋_GB2312" w:hAnsi="Times New Roman" w:hint="eastAsia"/>
          <w:sz w:val="32"/>
          <w:szCs w:val="32"/>
        </w:rPr>
        <w:t>2</w:t>
      </w:r>
      <w:r>
        <w:rPr>
          <w:rFonts w:ascii="Times New Roman" w:eastAsia="仿宋_GB2312" w:hAnsi="Times New Roman" w:hint="eastAsia"/>
          <w:sz w:val="32"/>
          <w:szCs w:val="32"/>
        </w:rPr>
        <w:t>年度收</w:t>
      </w:r>
      <w:r>
        <w:rPr>
          <w:rFonts w:ascii="Times New Roman" w:eastAsia="仿宋_GB2312" w:hAnsi="Times New Roman" w:hint="eastAsia"/>
          <w:sz w:val="32"/>
          <w:szCs w:val="32"/>
        </w:rPr>
        <w:t>入</w:t>
      </w:r>
      <w:r>
        <w:rPr>
          <w:rFonts w:ascii="Times New Roman" w:eastAsia="仿宋_GB2312" w:hAnsi="Times New Roman" w:hint="eastAsia"/>
          <w:sz w:val="32"/>
          <w:szCs w:val="32"/>
        </w:rPr>
        <w:t>总计</w:t>
      </w:r>
      <w:r>
        <w:rPr>
          <w:rFonts w:ascii="Times New Roman" w:eastAsia="仿宋_GB2312" w:hAnsi="Times New Roman" w:hint="eastAsia"/>
          <w:sz w:val="32"/>
          <w:szCs w:val="32"/>
        </w:rPr>
        <w:t>8877.34</w:t>
      </w:r>
      <w:r>
        <w:rPr>
          <w:rFonts w:ascii="Times New Roman" w:eastAsia="仿宋_GB2312" w:hAnsi="Times New Roman" w:hint="eastAsia"/>
          <w:sz w:val="32"/>
          <w:szCs w:val="32"/>
        </w:rPr>
        <w:t>万元。与上年相比，增加</w:t>
      </w:r>
      <w:r>
        <w:rPr>
          <w:rFonts w:ascii="Times New Roman" w:eastAsia="仿宋_GB2312" w:hAnsi="Times New Roman" w:hint="eastAsia"/>
          <w:sz w:val="32"/>
          <w:szCs w:val="32"/>
        </w:rPr>
        <w:t>2559.60</w:t>
      </w:r>
      <w:r>
        <w:rPr>
          <w:rFonts w:ascii="Times New Roman" w:eastAsia="仿宋_GB2312" w:hAnsi="Times New Roman" w:hint="eastAsia"/>
          <w:sz w:val="32"/>
          <w:szCs w:val="32"/>
        </w:rPr>
        <w:t>万元，增长</w:t>
      </w:r>
      <w:r>
        <w:rPr>
          <w:rFonts w:ascii="Times New Roman" w:eastAsia="仿宋_GB2312" w:hAnsi="Times New Roman" w:hint="eastAsia"/>
          <w:sz w:val="32"/>
          <w:szCs w:val="32"/>
        </w:rPr>
        <w:t>40.51%</w:t>
      </w:r>
      <w:r>
        <w:rPr>
          <w:rFonts w:ascii="Times New Roman" w:eastAsia="仿宋_GB2312" w:hAnsi="Times New Roman" w:hint="eastAsia"/>
          <w:sz w:val="32"/>
          <w:szCs w:val="32"/>
        </w:rPr>
        <w:t>，主要是因为</w:t>
      </w:r>
      <w:r>
        <w:rPr>
          <w:rFonts w:ascii="Times New Roman" w:eastAsia="仿宋_GB2312" w:hAnsi="Times New Roman" w:hint="eastAsia"/>
          <w:sz w:val="32"/>
          <w:szCs w:val="32"/>
        </w:rPr>
        <w:t>学院规模扩大，学生和教职工人数大幅增加，学院收入增加。</w:t>
      </w:r>
    </w:p>
    <w:p w:rsidR="003C3164" w:rsidRDefault="00526EF3">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w:t>
      </w:r>
      <w:r>
        <w:rPr>
          <w:rFonts w:ascii="Times New Roman" w:eastAsia="仿宋_GB2312" w:hAnsi="Times New Roman" w:hint="eastAsia"/>
          <w:sz w:val="32"/>
          <w:szCs w:val="32"/>
        </w:rPr>
        <w:t>2</w:t>
      </w:r>
      <w:r>
        <w:rPr>
          <w:rFonts w:ascii="Times New Roman" w:eastAsia="仿宋_GB2312" w:hAnsi="Times New Roman" w:hint="eastAsia"/>
          <w:sz w:val="32"/>
          <w:szCs w:val="32"/>
        </w:rPr>
        <w:t>年度</w:t>
      </w:r>
      <w:r>
        <w:rPr>
          <w:rFonts w:ascii="Times New Roman" w:eastAsia="仿宋_GB2312" w:hAnsi="Times New Roman" w:hint="eastAsia"/>
          <w:sz w:val="32"/>
          <w:szCs w:val="32"/>
        </w:rPr>
        <w:t>支出</w:t>
      </w:r>
      <w:r>
        <w:rPr>
          <w:rFonts w:ascii="Times New Roman" w:eastAsia="仿宋_GB2312" w:hAnsi="Times New Roman" w:hint="eastAsia"/>
          <w:sz w:val="32"/>
          <w:szCs w:val="32"/>
        </w:rPr>
        <w:t>总计</w:t>
      </w:r>
      <w:r>
        <w:rPr>
          <w:rFonts w:ascii="Times New Roman" w:eastAsia="仿宋_GB2312" w:hAnsi="Times New Roman" w:hint="eastAsia"/>
          <w:sz w:val="32"/>
          <w:szCs w:val="32"/>
        </w:rPr>
        <w:t>8877.34</w:t>
      </w:r>
      <w:r>
        <w:rPr>
          <w:rFonts w:ascii="Times New Roman" w:eastAsia="仿宋_GB2312" w:hAnsi="Times New Roman" w:hint="eastAsia"/>
          <w:sz w:val="32"/>
          <w:szCs w:val="32"/>
        </w:rPr>
        <w:t>万元。与上年相比，增加</w:t>
      </w:r>
      <w:r>
        <w:rPr>
          <w:rFonts w:ascii="Times New Roman" w:eastAsia="仿宋_GB2312" w:hAnsi="Times New Roman" w:hint="eastAsia"/>
          <w:sz w:val="32"/>
          <w:szCs w:val="32"/>
        </w:rPr>
        <w:t>2559.60</w:t>
      </w:r>
      <w:r>
        <w:rPr>
          <w:rFonts w:ascii="Times New Roman" w:eastAsia="仿宋_GB2312" w:hAnsi="Times New Roman" w:hint="eastAsia"/>
          <w:sz w:val="32"/>
          <w:szCs w:val="32"/>
        </w:rPr>
        <w:t>万元，增长</w:t>
      </w:r>
      <w:r>
        <w:rPr>
          <w:rFonts w:ascii="Times New Roman" w:eastAsia="仿宋_GB2312" w:hAnsi="Times New Roman" w:hint="eastAsia"/>
          <w:sz w:val="32"/>
          <w:szCs w:val="32"/>
        </w:rPr>
        <w:t>40.51%</w:t>
      </w:r>
      <w:r>
        <w:rPr>
          <w:rFonts w:ascii="Times New Roman" w:eastAsia="仿宋_GB2312" w:hAnsi="Times New Roman" w:hint="eastAsia"/>
          <w:sz w:val="32"/>
          <w:szCs w:val="32"/>
        </w:rPr>
        <w:t>，主要是因为</w:t>
      </w:r>
      <w:r>
        <w:rPr>
          <w:rFonts w:ascii="Times New Roman" w:eastAsia="仿宋_GB2312" w:hAnsi="Times New Roman" w:hint="eastAsia"/>
          <w:sz w:val="32"/>
          <w:szCs w:val="32"/>
        </w:rPr>
        <w:t>学院规模扩大，学生和教职工人数大幅增加，学院支出增加。</w:t>
      </w:r>
    </w:p>
    <w:p w:rsidR="003C3164" w:rsidRDefault="00526EF3">
      <w:pPr>
        <w:pStyle w:val="Default"/>
        <w:spacing w:line="600" w:lineRule="exact"/>
        <w:ind w:firstLineChars="200" w:firstLine="640"/>
        <w:rPr>
          <w:rFonts w:hAnsi="黑体"/>
          <w:bCs/>
          <w:sz w:val="32"/>
          <w:szCs w:val="32"/>
        </w:rPr>
      </w:pPr>
      <w:r>
        <w:rPr>
          <w:rFonts w:hAnsi="黑体" w:hint="eastAsia"/>
          <w:bCs/>
          <w:sz w:val="32"/>
          <w:szCs w:val="32"/>
        </w:rPr>
        <w:t>二、收入决算情况说明</w:t>
      </w:r>
    </w:p>
    <w:p w:rsidR="003C3164" w:rsidRDefault="00526EF3">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w:t>
      </w:r>
      <w:r>
        <w:rPr>
          <w:rFonts w:ascii="Times New Roman" w:eastAsia="仿宋_GB2312" w:hAnsi="Times New Roman" w:hint="eastAsia"/>
          <w:sz w:val="32"/>
          <w:szCs w:val="32"/>
        </w:rPr>
        <w:t>2</w:t>
      </w:r>
      <w:r>
        <w:rPr>
          <w:rFonts w:ascii="Times New Roman" w:eastAsia="仿宋_GB2312" w:hAnsi="Times New Roman" w:hint="eastAsia"/>
          <w:sz w:val="32"/>
          <w:szCs w:val="32"/>
        </w:rPr>
        <w:t>年度收入合计</w:t>
      </w:r>
      <w:r>
        <w:rPr>
          <w:rFonts w:ascii="Times New Roman" w:eastAsia="仿宋_GB2312" w:hAnsi="Times New Roman" w:hint="eastAsia"/>
          <w:sz w:val="32"/>
          <w:szCs w:val="32"/>
        </w:rPr>
        <w:t>8877.34</w:t>
      </w:r>
      <w:r>
        <w:rPr>
          <w:rFonts w:ascii="Times New Roman" w:eastAsia="仿宋_GB2312" w:hAnsi="Times New Roman" w:hint="eastAsia"/>
          <w:sz w:val="32"/>
          <w:szCs w:val="32"/>
        </w:rPr>
        <w:t>万元，其中：财政拨款收入</w:t>
      </w:r>
      <w:r>
        <w:rPr>
          <w:rFonts w:ascii="Times New Roman" w:eastAsia="仿宋_GB2312" w:hAnsi="Times New Roman" w:hint="eastAsia"/>
          <w:sz w:val="32"/>
          <w:szCs w:val="32"/>
        </w:rPr>
        <w:t>8174.23</w:t>
      </w:r>
      <w:r>
        <w:rPr>
          <w:rFonts w:ascii="Times New Roman" w:eastAsia="仿宋_GB2312" w:hAnsi="Times New Roman" w:hint="eastAsia"/>
          <w:sz w:val="32"/>
          <w:szCs w:val="32"/>
        </w:rPr>
        <w:t>万元，占</w:t>
      </w:r>
      <w:r>
        <w:rPr>
          <w:rFonts w:ascii="Times New Roman" w:eastAsia="仿宋_GB2312" w:hAnsi="Times New Roman" w:hint="eastAsia"/>
          <w:sz w:val="32"/>
          <w:szCs w:val="32"/>
        </w:rPr>
        <w:t>92.08%</w:t>
      </w:r>
      <w:r>
        <w:rPr>
          <w:rFonts w:ascii="Times New Roman" w:eastAsia="仿宋_GB2312" w:hAnsi="Times New Roman" w:hint="eastAsia"/>
          <w:sz w:val="32"/>
          <w:szCs w:val="32"/>
        </w:rPr>
        <w:t>；上级补助收入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；事业收入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；经营收入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；附属单位上缴收入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；其他收入</w:t>
      </w:r>
      <w:r>
        <w:rPr>
          <w:rFonts w:ascii="Times New Roman" w:eastAsia="仿宋_GB2312" w:hAnsi="Times New Roman" w:hint="eastAsia"/>
          <w:sz w:val="32"/>
          <w:szCs w:val="32"/>
        </w:rPr>
        <w:t>703.11</w:t>
      </w:r>
      <w:r>
        <w:rPr>
          <w:rFonts w:ascii="Times New Roman" w:eastAsia="仿宋_GB2312" w:hAnsi="Times New Roman" w:hint="eastAsia"/>
          <w:sz w:val="32"/>
          <w:szCs w:val="32"/>
        </w:rPr>
        <w:t>万元，占</w:t>
      </w:r>
      <w:r>
        <w:rPr>
          <w:rFonts w:ascii="Times New Roman" w:eastAsia="仿宋_GB2312" w:hAnsi="Times New Roman" w:hint="eastAsia"/>
          <w:sz w:val="32"/>
          <w:szCs w:val="32"/>
        </w:rPr>
        <w:t>7.92%</w:t>
      </w:r>
      <w:r>
        <w:rPr>
          <w:rFonts w:ascii="Times New Roman" w:eastAsia="仿宋_GB2312" w:hAnsi="Times New Roman" w:hint="eastAsia"/>
          <w:sz w:val="32"/>
          <w:szCs w:val="32"/>
        </w:rPr>
        <w:t>。</w:t>
      </w:r>
    </w:p>
    <w:p w:rsidR="003C3164" w:rsidRDefault="00526EF3">
      <w:pPr>
        <w:pStyle w:val="Default"/>
        <w:spacing w:line="600" w:lineRule="exact"/>
        <w:ind w:firstLineChars="200" w:firstLine="640"/>
        <w:rPr>
          <w:rFonts w:hAnsi="黑体"/>
          <w:bCs/>
          <w:sz w:val="32"/>
          <w:szCs w:val="32"/>
        </w:rPr>
      </w:pPr>
      <w:r>
        <w:rPr>
          <w:rFonts w:hAnsi="黑体" w:hint="eastAsia"/>
          <w:bCs/>
          <w:sz w:val="32"/>
          <w:szCs w:val="32"/>
        </w:rPr>
        <w:t>三、支出决算情况说明</w:t>
      </w:r>
    </w:p>
    <w:p w:rsidR="003C3164" w:rsidRDefault="00526EF3">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w:t>
      </w:r>
      <w:r>
        <w:rPr>
          <w:rFonts w:ascii="Times New Roman" w:eastAsia="仿宋_GB2312" w:hAnsi="Times New Roman" w:hint="eastAsia"/>
          <w:sz w:val="32"/>
          <w:szCs w:val="32"/>
        </w:rPr>
        <w:t>2</w:t>
      </w:r>
      <w:r>
        <w:rPr>
          <w:rFonts w:ascii="Times New Roman" w:eastAsia="仿宋_GB2312" w:hAnsi="Times New Roman" w:hint="eastAsia"/>
          <w:sz w:val="32"/>
          <w:szCs w:val="32"/>
        </w:rPr>
        <w:t>年度支出合计</w:t>
      </w:r>
      <w:r>
        <w:rPr>
          <w:rFonts w:ascii="Times New Roman" w:eastAsia="仿宋_GB2312" w:hAnsi="Times New Roman" w:hint="eastAsia"/>
          <w:sz w:val="32"/>
          <w:szCs w:val="32"/>
        </w:rPr>
        <w:t>8877.34</w:t>
      </w:r>
      <w:r>
        <w:rPr>
          <w:rFonts w:ascii="Times New Roman" w:eastAsia="仿宋_GB2312" w:hAnsi="Times New Roman" w:hint="eastAsia"/>
          <w:sz w:val="32"/>
          <w:szCs w:val="32"/>
        </w:rPr>
        <w:t>万元，其中：基本支出</w:t>
      </w:r>
      <w:r>
        <w:rPr>
          <w:rFonts w:ascii="Times New Roman" w:eastAsia="仿宋_GB2312" w:hAnsi="Times New Roman" w:hint="eastAsia"/>
          <w:sz w:val="32"/>
          <w:szCs w:val="32"/>
        </w:rPr>
        <w:t xml:space="preserve">4391.13 </w:t>
      </w:r>
      <w:r>
        <w:rPr>
          <w:rFonts w:ascii="Times New Roman" w:eastAsia="仿宋_GB2312" w:hAnsi="Times New Roman" w:hint="eastAsia"/>
          <w:sz w:val="32"/>
          <w:szCs w:val="32"/>
        </w:rPr>
        <w:t>万元，占</w:t>
      </w:r>
      <w:r>
        <w:rPr>
          <w:rFonts w:ascii="Times New Roman" w:eastAsia="仿宋_GB2312" w:hAnsi="Times New Roman" w:hint="eastAsia"/>
          <w:sz w:val="32"/>
          <w:szCs w:val="32"/>
        </w:rPr>
        <w:t>49.46%</w:t>
      </w:r>
      <w:r>
        <w:rPr>
          <w:rFonts w:ascii="Times New Roman" w:eastAsia="仿宋_GB2312" w:hAnsi="Times New Roman" w:hint="eastAsia"/>
          <w:sz w:val="32"/>
          <w:szCs w:val="32"/>
        </w:rPr>
        <w:t>；项目支出</w:t>
      </w:r>
      <w:r>
        <w:rPr>
          <w:rFonts w:ascii="Times New Roman" w:eastAsia="仿宋_GB2312" w:hAnsi="Times New Roman" w:hint="eastAsia"/>
          <w:sz w:val="32"/>
          <w:szCs w:val="32"/>
        </w:rPr>
        <w:t xml:space="preserve">4486.20 </w:t>
      </w:r>
      <w:r>
        <w:rPr>
          <w:rFonts w:ascii="Times New Roman" w:eastAsia="仿宋_GB2312" w:hAnsi="Times New Roman" w:hint="eastAsia"/>
          <w:sz w:val="32"/>
          <w:szCs w:val="32"/>
        </w:rPr>
        <w:t>万元，占</w:t>
      </w:r>
      <w:r>
        <w:rPr>
          <w:rFonts w:ascii="Times New Roman" w:eastAsia="仿宋_GB2312" w:hAnsi="Times New Roman" w:hint="eastAsia"/>
          <w:sz w:val="32"/>
          <w:szCs w:val="32"/>
        </w:rPr>
        <w:t>50.54%</w:t>
      </w:r>
      <w:r>
        <w:rPr>
          <w:rFonts w:ascii="Times New Roman" w:eastAsia="仿宋_GB2312" w:hAnsi="Times New Roman" w:hint="eastAsia"/>
          <w:sz w:val="32"/>
          <w:szCs w:val="32"/>
        </w:rPr>
        <w:t>；上缴上级支出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；经营支出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；对附属单位补助支出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w:t>
      </w:r>
    </w:p>
    <w:p w:rsidR="003C3164" w:rsidRDefault="00526EF3">
      <w:pPr>
        <w:pStyle w:val="Default"/>
        <w:spacing w:line="600" w:lineRule="exact"/>
        <w:ind w:firstLineChars="200" w:firstLine="640"/>
        <w:rPr>
          <w:rFonts w:hAnsi="黑体"/>
          <w:bCs/>
          <w:sz w:val="32"/>
          <w:szCs w:val="32"/>
        </w:rPr>
      </w:pPr>
      <w:r>
        <w:rPr>
          <w:rFonts w:hAnsi="黑体" w:hint="eastAsia"/>
          <w:bCs/>
          <w:sz w:val="32"/>
          <w:szCs w:val="32"/>
        </w:rPr>
        <w:t>四、财政拨款收入支出决算总体情况说明</w:t>
      </w:r>
    </w:p>
    <w:p w:rsidR="003C3164" w:rsidRDefault="00526EF3">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w:t>
      </w:r>
      <w:r>
        <w:rPr>
          <w:rFonts w:ascii="Times New Roman" w:eastAsia="仿宋_GB2312" w:hAnsi="Times New Roman" w:hint="eastAsia"/>
          <w:sz w:val="32"/>
          <w:szCs w:val="32"/>
        </w:rPr>
        <w:t>2</w:t>
      </w:r>
      <w:r>
        <w:rPr>
          <w:rFonts w:ascii="Times New Roman" w:eastAsia="仿宋_GB2312" w:hAnsi="Times New Roman" w:hint="eastAsia"/>
          <w:sz w:val="32"/>
          <w:szCs w:val="32"/>
        </w:rPr>
        <w:t>年度财政拨款收</w:t>
      </w:r>
      <w:r>
        <w:rPr>
          <w:rFonts w:ascii="Times New Roman" w:eastAsia="仿宋_GB2312" w:hAnsi="Times New Roman" w:hint="eastAsia"/>
          <w:sz w:val="32"/>
          <w:szCs w:val="32"/>
        </w:rPr>
        <w:t>入</w:t>
      </w:r>
      <w:r>
        <w:rPr>
          <w:rFonts w:ascii="Times New Roman" w:eastAsia="仿宋_GB2312" w:hAnsi="Times New Roman" w:hint="eastAsia"/>
          <w:sz w:val="32"/>
          <w:szCs w:val="32"/>
        </w:rPr>
        <w:t>总计</w:t>
      </w:r>
      <w:r>
        <w:rPr>
          <w:rFonts w:ascii="Times New Roman" w:eastAsia="仿宋_GB2312" w:hAnsi="Times New Roman" w:hint="eastAsia"/>
          <w:sz w:val="32"/>
          <w:szCs w:val="32"/>
        </w:rPr>
        <w:t>8174.23</w:t>
      </w:r>
      <w:r>
        <w:rPr>
          <w:rFonts w:ascii="Times New Roman" w:eastAsia="仿宋_GB2312" w:hAnsi="Times New Roman" w:hint="eastAsia"/>
          <w:sz w:val="32"/>
          <w:szCs w:val="32"/>
        </w:rPr>
        <w:t>万元，与上年相比，增加</w:t>
      </w:r>
      <w:r>
        <w:rPr>
          <w:rFonts w:ascii="Times New Roman" w:eastAsia="仿宋_GB2312" w:hAnsi="Times New Roman" w:hint="eastAsia"/>
          <w:sz w:val="32"/>
          <w:szCs w:val="32"/>
        </w:rPr>
        <w:t>2887.32</w:t>
      </w:r>
      <w:r>
        <w:rPr>
          <w:rFonts w:ascii="Times New Roman" w:eastAsia="仿宋_GB2312" w:hAnsi="Times New Roman" w:hint="eastAsia"/>
          <w:sz w:val="32"/>
          <w:szCs w:val="32"/>
        </w:rPr>
        <w:t>万元</w:t>
      </w:r>
      <w:r>
        <w:rPr>
          <w:rFonts w:ascii="Times New Roman" w:eastAsia="仿宋_GB2312" w:hAnsi="Times New Roman" w:hint="eastAsia"/>
          <w:sz w:val="32"/>
          <w:szCs w:val="32"/>
        </w:rPr>
        <w:t>,</w:t>
      </w:r>
      <w:r>
        <w:rPr>
          <w:rFonts w:ascii="Times New Roman" w:eastAsia="仿宋_GB2312" w:hAnsi="Times New Roman" w:hint="eastAsia"/>
          <w:sz w:val="32"/>
          <w:szCs w:val="32"/>
        </w:rPr>
        <w:t>增长</w:t>
      </w:r>
      <w:r>
        <w:rPr>
          <w:rFonts w:ascii="Times New Roman" w:eastAsia="仿宋_GB2312" w:hAnsi="Times New Roman" w:hint="eastAsia"/>
          <w:sz w:val="32"/>
          <w:szCs w:val="32"/>
        </w:rPr>
        <w:t>54.61%</w:t>
      </w:r>
      <w:r>
        <w:rPr>
          <w:rFonts w:ascii="Times New Roman" w:eastAsia="仿宋_GB2312" w:hAnsi="Times New Roman" w:hint="eastAsia"/>
          <w:sz w:val="32"/>
          <w:szCs w:val="32"/>
        </w:rPr>
        <w:t>，主要是因为</w:t>
      </w:r>
      <w:r>
        <w:rPr>
          <w:rFonts w:ascii="Times New Roman" w:eastAsia="仿宋_GB2312" w:hAnsi="Times New Roman" w:hint="eastAsia"/>
          <w:sz w:val="32"/>
          <w:szCs w:val="32"/>
        </w:rPr>
        <w:t>2022</w:t>
      </w:r>
      <w:r>
        <w:rPr>
          <w:rFonts w:ascii="Times New Roman" w:eastAsia="仿宋_GB2312" w:hAnsi="Times New Roman" w:hint="eastAsia"/>
          <w:sz w:val="32"/>
          <w:szCs w:val="32"/>
        </w:rPr>
        <w:t>年度将财政专户非税成本支出资金纳入财政拨款收入</w:t>
      </w:r>
      <w:r>
        <w:rPr>
          <w:rFonts w:ascii="Times New Roman" w:eastAsia="仿宋_GB2312" w:hAnsi="Times New Roman" w:hint="eastAsia"/>
          <w:sz w:val="32"/>
          <w:szCs w:val="32"/>
        </w:rPr>
        <w:t>。</w:t>
      </w:r>
    </w:p>
    <w:p w:rsidR="003C3164" w:rsidRDefault="00526EF3">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w:t>
      </w:r>
      <w:r>
        <w:rPr>
          <w:rFonts w:ascii="Times New Roman" w:eastAsia="仿宋_GB2312" w:hAnsi="Times New Roman" w:hint="eastAsia"/>
          <w:sz w:val="32"/>
          <w:szCs w:val="32"/>
        </w:rPr>
        <w:t>2</w:t>
      </w:r>
      <w:r>
        <w:rPr>
          <w:rFonts w:ascii="Times New Roman" w:eastAsia="仿宋_GB2312" w:hAnsi="Times New Roman" w:hint="eastAsia"/>
          <w:sz w:val="32"/>
          <w:szCs w:val="32"/>
        </w:rPr>
        <w:t>年度财政拨款</w:t>
      </w:r>
      <w:r>
        <w:rPr>
          <w:rFonts w:ascii="Times New Roman" w:eastAsia="仿宋_GB2312" w:hAnsi="Times New Roman" w:hint="eastAsia"/>
          <w:sz w:val="32"/>
          <w:szCs w:val="32"/>
        </w:rPr>
        <w:t>支出</w:t>
      </w:r>
      <w:r>
        <w:rPr>
          <w:rFonts w:ascii="Times New Roman" w:eastAsia="仿宋_GB2312" w:hAnsi="Times New Roman" w:hint="eastAsia"/>
          <w:sz w:val="32"/>
          <w:szCs w:val="32"/>
        </w:rPr>
        <w:t>总计</w:t>
      </w:r>
      <w:r>
        <w:rPr>
          <w:rFonts w:ascii="Times New Roman" w:eastAsia="仿宋_GB2312" w:hAnsi="Times New Roman" w:hint="eastAsia"/>
          <w:sz w:val="32"/>
          <w:szCs w:val="32"/>
        </w:rPr>
        <w:t>8174.23</w:t>
      </w:r>
      <w:r>
        <w:rPr>
          <w:rFonts w:ascii="Times New Roman" w:eastAsia="仿宋_GB2312" w:hAnsi="Times New Roman" w:hint="eastAsia"/>
          <w:sz w:val="32"/>
          <w:szCs w:val="32"/>
        </w:rPr>
        <w:t>万元，与上年相比，增加</w:t>
      </w:r>
      <w:r>
        <w:rPr>
          <w:rFonts w:ascii="Times New Roman" w:eastAsia="仿宋_GB2312" w:hAnsi="Times New Roman" w:hint="eastAsia"/>
          <w:sz w:val="32"/>
          <w:szCs w:val="32"/>
        </w:rPr>
        <w:t>2887.32</w:t>
      </w:r>
      <w:r>
        <w:rPr>
          <w:rFonts w:ascii="Times New Roman" w:eastAsia="仿宋_GB2312" w:hAnsi="Times New Roman" w:hint="eastAsia"/>
          <w:sz w:val="32"/>
          <w:szCs w:val="32"/>
        </w:rPr>
        <w:t>万元</w:t>
      </w:r>
      <w:r>
        <w:rPr>
          <w:rFonts w:ascii="Times New Roman" w:eastAsia="仿宋_GB2312" w:hAnsi="Times New Roman" w:hint="eastAsia"/>
          <w:sz w:val="32"/>
          <w:szCs w:val="32"/>
        </w:rPr>
        <w:t>,</w:t>
      </w:r>
      <w:r>
        <w:rPr>
          <w:rFonts w:ascii="Times New Roman" w:eastAsia="仿宋_GB2312" w:hAnsi="Times New Roman" w:hint="eastAsia"/>
          <w:sz w:val="32"/>
          <w:szCs w:val="32"/>
        </w:rPr>
        <w:t>增长</w:t>
      </w:r>
      <w:r>
        <w:rPr>
          <w:rFonts w:ascii="Times New Roman" w:eastAsia="仿宋_GB2312" w:hAnsi="Times New Roman" w:hint="eastAsia"/>
          <w:sz w:val="32"/>
          <w:szCs w:val="32"/>
        </w:rPr>
        <w:t>54.61%</w:t>
      </w:r>
      <w:r>
        <w:rPr>
          <w:rFonts w:ascii="Times New Roman" w:eastAsia="仿宋_GB2312" w:hAnsi="Times New Roman" w:hint="eastAsia"/>
          <w:sz w:val="32"/>
          <w:szCs w:val="32"/>
        </w:rPr>
        <w:t>，主要是因为</w:t>
      </w:r>
      <w:r>
        <w:rPr>
          <w:rFonts w:ascii="Times New Roman" w:eastAsia="仿宋_GB2312" w:hAnsi="Times New Roman" w:hint="eastAsia"/>
          <w:sz w:val="32"/>
          <w:szCs w:val="32"/>
        </w:rPr>
        <w:t>2022</w:t>
      </w:r>
      <w:r>
        <w:rPr>
          <w:rFonts w:ascii="Times New Roman" w:eastAsia="仿宋_GB2312" w:hAnsi="Times New Roman" w:hint="eastAsia"/>
          <w:sz w:val="32"/>
          <w:szCs w:val="32"/>
        </w:rPr>
        <w:t>年度将财政专户非税成本支出纳入财政拨款</w:t>
      </w:r>
      <w:r>
        <w:rPr>
          <w:rFonts w:ascii="Times New Roman" w:eastAsia="仿宋_GB2312" w:hAnsi="Times New Roman" w:hint="eastAsia"/>
          <w:sz w:val="32"/>
          <w:szCs w:val="32"/>
        </w:rPr>
        <w:t>支出。</w:t>
      </w:r>
    </w:p>
    <w:p w:rsidR="003C3164" w:rsidRDefault="00526EF3">
      <w:pPr>
        <w:pStyle w:val="Default"/>
        <w:spacing w:line="600" w:lineRule="exact"/>
        <w:ind w:firstLineChars="200" w:firstLine="640"/>
        <w:rPr>
          <w:rFonts w:hAnsi="黑体"/>
          <w:bCs/>
          <w:sz w:val="32"/>
          <w:szCs w:val="32"/>
        </w:rPr>
      </w:pPr>
      <w:r>
        <w:rPr>
          <w:rFonts w:hAnsi="黑体" w:hint="eastAsia"/>
          <w:bCs/>
          <w:sz w:val="32"/>
          <w:szCs w:val="32"/>
        </w:rPr>
        <w:t>五、一般公共预算财政拨款支出决算情况说明</w:t>
      </w:r>
    </w:p>
    <w:p w:rsidR="003C3164" w:rsidRDefault="00526EF3">
      <w:pPr>
        <w:pStyle w:val="Default"/>
        <w:spacing w:line="600" w:lineRule="exact"/>
        <w:ind w:firstLineChars="200" w:firstLine="643"/>
        <w:rPr>
          <w:rFonts w:ascii="楷体_GB2312" w:eastAsia="楷体_GB2312" w:hAnsi="楷体_GB2312" w:cs="楷体_GB2312"/>
          <w:b/>
          <w:sz w:val="32"/>
          <w:szCs w:val="32"/>
        </w:rPr>
      </w:pPr>
      <w:r>
        <w:rPr>
          <w:rFonts w:ascii="楷体_GB2312" w:eastAsia="楷体_GB2312" w:hAnsi="楷体_GB2312" w:cs="楷体_GB2312" w:hint="eastAsia"/>
          <w:b/>
          <w:sz w:val="32"/>
          <w:szCs w:val="32"/>
        </w:rPr>
        <w:t>（一）财政拨款支出决算总体情况</w:t>
      </w:r>
    </w:p>
    <w:p w:rsidR="003C3164" w:rsidRDefault="00526EF3">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202</w:t>
      </w:r>
      <w:r>
        <w:rPr>
          <w:rFonts w:ascii="Times New Roman" w:eastAsia="仿宋_GB2312" w:hAnsi="Times New Roman" w:hint="eastAsia"/>
          <w:sz w:val="32"/>
          <w:szCs w:val="32"/>
        </w:rPr>
        <w:t>2</w:t>
      </w:r>
      <w:r>
        <w:rPr>
          <w:rFonts w:ascii="Times New Roman" w:eastAsia="仿宋_GB2312" w:hAnsi="Times New Roman" w:hint="eastAsia"/>
          <w:sz w:val="32"/>
          <w:szCs w:val="32"/>
        </w:rPr>
        <w:t>年度财政拨款支出</w:t>
      </w:r>
      <w:r>
        <w:rPr>
          <w:rFonts w:ascii="Times New Roman" w:eastAsia="仿宋_GB2312" w:hAnsi="Times New Roman" w:hint="eastAsia"/>
          <w:sz w:val="32"/>
          <w:szCs w:val="32"/>
        </w:rPr>
        <w:t>8174.23</w:t>
      </w:r>
      <w:r>
        <w:rPr>
          <w:rFonts w:ascii="Times New Roman" w:eastAsia="仿宋_GB2312" w:hAnsi="Times New Roman" w:hint="eastAsia"/>
          <w:sz w:val="32"/>
          <w:szCs w:val="32"/>
        </w:rPr>
        <w:t>万元，占本年支出合计的</w:t>
      </w:r>
      <w:r>
        <w:rPr>
          <w:rFonts w:ascii="Times New Roman" w:eastAsia="仿宋_GB2312" w:hAnsi="Times New Roman" w:hint="eastAsia"/>
          <w:sz w:val="32"/>
          <w:szCs w:val="32"/>
        </w:rPr>
        <w:t>92.08%</w:t>
      </w:r>
      <w:r>
        <w:rPr>
          <w:rFonts w:ascii="Times New Roman" w:eastAsia="仿宋_GB2312" w:hAnsi="Times New Roman" w:hint="eastAsia"/>
          <w:sz w:val="32"/>
          <w:szCs w:val="32"/>
        </w:rPr>
        <w:t>，与上</w:t>
      </w:r>
      <w:r>
        <w:rPr>
          <w:rFonts w:ascii="Times New Roman" w:eastAsia="仿宋_GB2312" w:hAnsi="Times New Roman" w:hint="eastAsia"/>
          <w:sz w:val="32"/>
          <w:szCs w:val="32"/>
        </w:rPr>
        <w:lastRenderedPageBreak/>
        <w:t>年相比，财政拨款支出增加</w:t>
      </w:r>
      <w:r>
        <w:rPr>
          <w:rFonts w:ascii="Times New Roman" w:eastAsia="仿宋_GB2312" w:hAnsi="Times New Roman" w:hint="eastAsia"/>
          <w:sz w:val="32"/>
          <w:szCs w:val="32"/>
        </w:rPr>
        <w:t>2887.32</w:t>
      </w:r>
      <w:r>
        <w:rPr>
          <w:rFonts w:ascii="Times New Roman" w:eastAsia="仿宋_GB2312" w:hAnsi="Times New Roman" w:hint="eastAsia"/>
          <w:sz w:val="32"/>
          <w:szCs w:val="32"/>
        </w:rPr>
        <w:t>万元，增长</w:t>
      </w:r>
      <w:r>
        <w:rPr>
          <w:rFonts w:ascii="Times New Roman" w:eastAsia="仿宋_GB2312" w:hAnsi="Times New Roman" w:hint="eastAsia"/>
          <w:sz w:val="32"/>
          <w:szCs w:val="32"/>
        </w:rPr>
        <w:t>54.61%</w:t>
      </w:r>
      <w:r>
        <w:rPr>
          <w:rFonts w:ascii="Times New Roman" w:eastAsia="仿宋_GB2312" w:hAnsi="Times New Roman" w:hint="eastAsia"/>
          <w:sz w:val="32"/>
          <w:szCs w:val="32"/>
        </w:rPr>
        <w:t>，主要是因为</w:t>
      </w:r>
      <w:r>
        <w:rPr>
          <w:rFonts w:ascii="Times New Roman" w:eastAsia="仿宋_GB2312" w:hAnsi="Times New Roman" w:hint="eastAsia"/>
          <w:sz w:val="32"/>
          <w:szCs w:val="32"/>
        </w:rPr>
        <w:t>2022</w:t>
      </w:r>
      <w:r>
        <w:rPr>
          <w:rFonts w:ascii="Times New Roman" w:eastAsia="仿宋_GB2312" w:hAnsi="Times New Roman" w:hint="eastAsia"/>
          <w:sz w:val="32"/>
          <w:szCs w:val="32"/>
        </w:rPr>
        <w:t>年度将财政专户非税成本支出纳入财政拨款支出。</w:t>
      </w:r>
    </w:p>
    <w:p w:rsidR="003C3164" w:rsidRDefault="00526EF3">
      <w:pPr>
        <w:pStyle w:val="Default"/>
        <w:spacing w:line="600" w:lineRule="exact"/>
        <w:ind w:firstLineChars="200" w:firstLine="643"/>
        <w:rPr>
          <w:rFonts w:ascii="楷体_GB2312" w:eastAsia="楷体_GB2312" w:hAnsi="楷体_GB2312" w:cs="楷体_GB2312"/>
          <w:b/>
          <w:sz w:val="32"/>
          <w:szCs w:val="32"/>
        </w:rPr>
      </w:pPr>
      <w:r>
        <w:rPr>
          <w:rFonts w:ascii="楷体_GB2312" w:eastAsia="楷体_GB2312" w:hAnsi="楷体_GB2312" w:cs="楷体_GB2312" w:hint="eastAsia"/>
          <w:b/>
          <w:sz w:val="32"/>
          <w:szCs w:val="32"/>
        </w:rPr>
        <w:t>（二）财政拨款支出决算结构情况</w:t>
      </w:r>
    </w:p>
    <w:p w:rsidR="003C3164" w:rsidRDefault="00526EF3">
      <w:pPr>
        <w:pStyle w:val="Default"/>
        <w:ind w:firstLineChars="200" w:firstLine="640"/>
        <w:rPr>
          <w:rFonts w:asciiTheme="minorEastAsia" w:eastAsiaTheme="minorEastAsia" w:hAnsiTheme="minorEastAsia"/>
          <w:color w:val="FF0000"/>
          <w:sz w:val="32"/>
          <w:szCs w:val="32"/>
        </w:rPr>
      </w:pPr>
      <w:r>
        <w:rPr>
          <w:rFonts w:ascii="Times New Roman" w:eastAsia="仿宋_GB2312" w:hAnsi="Times New Roman" w:hint="eastAsia"/>
          <w:sz w:val="32"/>
          <w:szCs w:val="32"/>
        </w:rPr>
        <w:t>202</w:t>
      </w:r>
      <w:r>
        <w:rPr>
          <w:rFonts w:ascii="Times New Roman" w:eastAsia="仿宋_GB2312" w:hAnsi="Times New Roman" w:hint="eastAsia"/>
          <w:sz w:val="32"/>
          <w:szCs w:val="32"/>
        </w:rPr>
        <w:t>2</w:t>
      </w:r>
      <w:r>
        <w:rPr>
          <w:rFonts w:ascii="Times New Roman" w:eastAsia="仿宋_GB2312" w:hAnsi="Times New Roman" w:hint="eastAsia"/>
          <w:sz w:val="32"/>
          <w:szCs w:val="32"/>
        </w:rPr>
        <w:t>年度财政拨款支出</w:t>
      </w:r>
      <w:r>
        <w:rPr>
          <w:rFonts w:ascii="Times New Roman" w:eastAsia="仿宋_GB2312" w:hAnsi="Times New Roman" w:hint="eastAsia"/>
          <w:sz w:val="32"/>
          <w:szCs w:val="32"/>
        </w:rPr>
        <w:t>8174.23</w:t>
      </w:r>
      <w:r>
        <w:rPr>
          <w:rFonts w:ascii="Times New Roman" w:eastAsia="仿宋_GB2312" w:hAnsi="Times New Roman" w:hint="eastAsia"/>
          <w:sz w:val="32"/>
          <w:szCs w:val="32"/>
        </w:rPr>
        <w:t>万元，主要用于以下方面：教育支出</w:t>
      </w:r>
      <w:r>
        <w:rPr>
          <w:rFonts w:ascii="Times New Roman" w:eastAsia="仿宋_GB2312" w:hAnsi="Times New Roman" w:hint="eastAsia"/>
          <w:sz w:val="32"/>
          <w:szCs w:val="32"/>
        </w:rPr>
        <w:t>7433.69</w:t>
      </w:r>
      <w:r>
        <w:rPr>
          <w:rFonts w:ascii="Times New Roman" w:eastAsia="仿宋_GB2312" w:hAnsi="Times New Roman" w:hint="eastAsia"/>
          <w:sz w:val="32"/>
          <w:szCs w:val="32"/>
        </w:rPr>
        <w:t>万元，占</w:t>
      </w:r>
      <w:r>
        <w:rPr>
          <w:rFonts w:ascii="Times New Roman" w:eastAsia="仿宋_GB2312" w:hAnsi="Times New Roman" w:hint="eastAsia"/>
          <w:sz w:val="32"/>
          <w:szCs w:val="32"/>
        </w:rPr>
        <w:t>90.94%</w:t>
      </w:r>
      <w:r>
        <w:rPr>
          <w:rFonts w:ascii="Times New Roman" w:eastAsia="仿宋_GB2312" w:hAnsi="Times New Roman" w:hint="eastAsia"/>
          <w:sz w:val="32"/>
          <w:szCs w:val="32"/>
        </w:rPr>
        <w:t>；</w:t>
      </w:r>
      <w:r>
        <w:rPr>
          <w:rFonts w:ascii="Times New Roman" w:eastAsia="仿宋_GB2312" w:hAnsi="Times New Roman" w:hint="eastAsia"/>
          <w:sz w:val="32"/>
          <w:szCs w:val="32"/>
        </w:rPr>
        <w:t>社会保障和就业支出</w:t>
      </w:r>
      <w:r>
        <w:rPr>
          <w:rFonts w:ascii="Times New Roman" w:eastAsia="仿宋_GB2312" w:hAnsi="Times New Roman" w:hint="eastAsia"/>
          <w:sz w:val="32"/>
          <w:szCs w:val="32"/>
        </w:rPr>
        <w:t>324.96</w:t>
      </w:r>
      <w:r>
        <w:rPr>
          <w:rFonts w:ascii="Times New Roman" w:eastAsia="仿宋_GB2312" w:hAnsi="Times New Roman" w:hint="eastAsia"/>
          <w:sz w:val="32"/>
          <w:szCs w:val="32"/>
        </w:rPr>
        <w:t>万元，占</w:t>
      </w:r>
      <w:r>
        <w:rPr>
          <w:rFonts w:ascii="Times New Roman" w:eastAsia="仿宋_GB2312" w:hAnsi="Times New Roman" w:hint="eastAsia"/>
          <w:sz w:val="32"/>
          <w:szCs w:val="32"/>
        </w:rPr>
        <w:t>3.98%</w:t>
      </w:r>
      <w:r>
        <w:rPr>
          <w:rFonts w:ascii="Times New Roman" w:eastAsia="仿宋_GB2312" w:hAnsi="Times New Roman" w:hint="eastAsia"/>
          <w:sz w:val="32"/>
          <w:szCs w:val="32"/>
        </w:rPr>
        <w:t>；住房保障支出</w:t>
      </w:r>
      <w:r>
        <w:rPr>
          <w:rFonts w:ascii="Times New Roman" w:eastAsia="仿宋_GB2312" w:hAnsi="Times New Roman" w:hint="eastAsia"/>
          <w:sz w:val="32"/>
          <w:szCs w:val="32"/>
        </w:rPr>
        <w:t xml:space="preserve">228.14 </w:t>
      </w:r>
      <w:r>
        <w:rPr>
          <w:rFonts w:ascii="Times New Roman" w:eastAsia="仿宋_GB2312" w:hAnsi="Times New Roman" w:hint="eastAsia"/>
          <w:sz w:val="32"/>
          <w:szCs w:val="32"/>
        </w:rPr>
        <w:t>万元，占</w:t>
      </w:r>
      <w:r>
        <w:rPr>
          <w:rFonts w:ascii="Times New Roman" w:eastAsia="仿宋_GB2312" w:hAnsi="Times New Roman" w:hint="eastAsia"/>
          <w:sz w:val="32"/>
          <w:szCs w:val="32"/>
        </w:rPr>
        <w:t>2.79%</w:t>
      </w:r>
      <w:r>
        <w:rPr>
          <w:rFonts w:ascii="Times New Roman" w:eastAsia="仿宋_GB2312" w:hAnsi="Times New Roman" w:hint="eastAsia"/>
          <w:sz w:val="32"/>
          <w:szCs w:val="32"/>
        </w:rPr>
        <w:t>；卫生健康支出</w:t>
      </w:r>
      <w:r>
        <w:rPr>
          <w:rFonts w:ascii="Times New Roman" w:eastAsia="仿宋_GB2312" w:hAnsi="Times New Roman" w:hint="eastAsia"/>
          <w:sz w:val="32"/>
          <w:szCs w:val="32"/>
        </w:rPr>
        <w:t xml:space="preserve">168.32 </w:t>
      </w:r>
      <w:r>
        <w:rPr>
          <w:rFonts w:ascii="Times New Roman" w:eastAsia="仿宋_GB2312" w:hAnsi="Times New Roman" w:hint="eastAsia"/>
          <w:sz w:val="32"/>
          <w:szCs w:val="32"/>
        </w:rPr>
        <w:t>万元，占</w:t>
      </w:r>
      <w:r>
        <w:rPr>
          <w:rFonts w:ascii="Times New Roman" w:eastAsia="仿宋_GB2312" w:hAnsi="Times New Roman" w:hint="eastAsia"/>
          <w:sz w:val="32"/>
          <w:szCs w:val="32"/>
        </w:rPr>
        <w:t>2.06%</w:t>
      </w:r>
      <w:r>
        <w:rPr>
          <w:rFonts w:ascii="Times New Roman" w:eastAsia="仿宋_GB2312" w:hAnsi="Times New Roman" w:hint="eastAsia"/>
          <w:sz w:val="32"/>
          <w:szCs w:val="32"/>
        </w:rPr>
        <w:t>；国防支出</w:t>
      </w:r>
      <w:r>
        <w:rPr>
          <w:rFonts w:ascii="Times New Roman" w:eastAsia="仿宋_GB2312" w:hAnsi="Times New Roman" w:hint="eastAsia"/>
          <w:sz w:val="32"/>
          <w:szCs w:val="32"/>
        </w:rPr>
        <w:t>18.12</w:t>
      </w:r>
      <w:r>
        <w:rPr>
          <w:rFonts w:ascii="Times New Roman" w:eastAsia="仿宋_GB2312" w:hAnsi="Times New Roman" w:hint="eastAsia"/>
          <w:sz w:val="32"/>
          <w:szCs w:val="32"/>
        </w:rPr>
        <w:t>万元，占</w:t>
      </w:r>
      <w:r>
        <w:rPr>
          <w:rFonts w:ascii="Times New Roman" w:eastAsia="仿宋_GB2312" w:hAnsi="Times New Roman" w:hint="eastAsia"/>
          <w:sz w:val="32"/>
          <w:szCs w:val="32"/>
        </w:rPr>
        <w:t>0.22%</w:t>
      </w:r>
      <w:r>
        <w:rPr>
          <w:rFonts w:ascii="Times New Roman" w:eastAsia="仿宋_GB2312" w:hAnsi="Times New Roman" w:hint="eastAsia"/>
          <w:sz w:val="32"/>
          <w:szCs w:val="32"/>
        </w:rPr>
        <w:t>；科学技术支出</w:t>
      </w:r>
      <w:r>
        <w:rPr>
          <w:rFonts w:ascii="Times New Roman" w:eastAsia="仿宋_GB2312" w:hAnsi="Times New Roman" w:hint="eastAsia"/>
          <w:sz w:val="32"/>
          <w:szCs w:val="32"/>
        </w:rPr>
        <w:t>1.00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0.01%</w:t>
      </w:r>
      <w:r>
        <w:rPr>
          <w:rFonts w:ascii="Times New Roman" w:eastAsia="仿宋_GB2312" w:hAnsi="Times New Roman" w:hint="eastAsia"/>
          <w:sz w:val="32"/>
          <w:szCs w:val="32"/>
        </w:rPr>
        <w:t>。</w:t>
      </w:r>
    </w:p>
    <w:p w:rsidR="003C3164" w:rsidRDefault="00526EF3">
      <w:pPr>
        <w:pStyle w:val="Default"/>
        <w:spacing w:line="600" w:lineRule="exact"/>
        <w:ind w:firstLineChars="200" w:firstLine="643"/>
        <w:rPr>
          <w:rFonts w:ascii="楷体_GB2312" w:eastAsia="楷体_GB2312" w:hAnsi="楷体_GB2312" w:cs="楷体_GB2312"/>
          <w:b/>
          <w:sz w:val="32"/>
          <w:szCs w:val="32"/>
        </w:rPr>
      </w:pPr>
      <w:r>
        <w:rPr>
          <w:rFonts w:ascii="楷体_GB2312" w:eastAsia="楷体_GB2312" w:hAnsi="楷体_GB2312" w:cs="楷体_GB2312" w:hint="eastAsia"/>
          <w:b/>
          <w:sz w:val="32"/>
          <w:szCs w:val="32"/>
        </w:rPr>
        <w:t>（三）财政拨款支出决算具体情况</w:t>
      </w:r>
    </w:p>
    <w:p w:rsidR="003C3164" w:rsidRDefault="00526EF3">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202</w:t>
      </w:r>
      <w:r>
        <w:rPr>
          <w:rFonts w:ascii="Times New Roman" w:eastAsia="仿宋_GB2312" w:hAnsi="Times New Roman" w:hint="eastAsia"/>
          <w:sz w:val="32"/>
          <w:szCs w:val="32"/>
        </w:rPr>
        <w:t>2</w:t>
      </w:r>
      <w:r>
        <w:rPr>
          <w:rFonts w:ascii="Times New Roman" w:eastAsia="仿宋_GB2312" w:hAnsi="Times New Roman" w:hint="eastAsia"/>
          <w:sz w:val="32"/>
          <w:szCs w:val="32"/>
        </w:rPr>
        <w:t>年度财政拨款支出年初预算数为</w:t>
      </w:r>
      <w:r>
        <w:rPr>
          <w:rFonts w:ascii="Times New Roman" w:eastAsia="仿宋_GB2312" w:hAnsi="Times New Roman" w:hint="eastAsia"/>
          <w:sz w:val="32"/>
          <w:szCs w:val="32"/>
        </w:rPr>
        <w:t>3564.26</w:t>
      </w:r>
      <w:r>
        <w:rPr>
          <w:rFonts w:ascii="Times New Roman" w:eastAsia="仿宋_GB2312" w:hAnsi="Times New Roman" w:hint="eastAsia"/>
          <w:sz w:val="32"/>
          <w:szCs w:val="32"/>
        </w:rPr>
        <w:t>万元，支出决算数为</w:t>
      </w:r>
      <w:r>
        <w:rPr>
          <w:rFonts w:ascii="Times New Roman" w:eastAsia="仿宋_GB2312" w:hAnsi="Times New Roman" w:hint="eastAsia"/>
          <w:sz w:val="32"/>
          <w:szCs w:val="32"/>
        </w:rPr>
        <w:t>8174.23</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229.34%</w:t>
      </w:r>
      <w:r>
        <w:rPr>
          <w:rFonts w:ascii="Times New Roman" w:eastAsia="仿宋_GB2312" w:hAnsi="Times New Roman" w:hint="eastAsia"/>
          <w:sz w:val="32"/>
          <w:szCs w:val="32"/>
        </w:rPr>
        <w:t>，其中：</w:t>
      </w:r>
    </w:p>
    <w:p w:rsidR="003C3164" w:rsidRDefault="00526EF3">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、教育支出（类）</w:t>
      </w:r>
      <w:r>
        <w:rPr>
          <w:rFonts w:ascii="Times New Roman" w:eastAsia="仿宋_GB2312" w:hAnsi="Times New Roman" w:hint="eastAsia"/>
          <w:sz w:val="32"/>
          <w:szCs w:val="32"/>
        </w:rPr>
        <w:t>职业教育</w:t>
      </w:r>
      <w:r>
        <w:rPr>
          <w:rFonts w:ascii="Times New Roman" w:eastAsia="仿宋_GB2312" w:hAnsi="Times New Roman" w:hint="eastAsia"/>
          <w:sz w:val="32"/>
          <w:szCs w:val="32"/>
        </w:rPr>
        <w:t>（款）</w:t>
      </w:r>
      <w:r>
        <w:rPr>
          <w:rFonts w:ascii="Times New Roman" w:eastAsia="仿宋_GB2312" w:hAnsi="Times New Roman" w:hint="eastAsia"/>
          <w:sz w:val="32"/>
          <w:szCs w:val="32"/>
        </w:rPr>
        <w:t>中等职业教育</w:t>
      </w:r>
      <w:r>
        <w:rPr>
          <w:rFonts w:ascii="Times New Roman" w:eastAsia="仿宋_GB2312" w:hAnsi="Times New Roman" w:hint="eastAsia"/>
          <w:sz w:val="32"/>
          <w:szCs w:val="32"/>
        </w:rPr>
        <w:t>（项）。</w:t>
      </w:r>
    </w:p>
    <w:p w:rsidR="003C3164" w:rsidRDefault="00526EF3">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361.61</w:t>
      </w:r>
      <w:r>
        <w:rPr>
          <w:rFonts w:ascii="Times New Roman" w:eastAsia="仿宋_GB2312" w:hAnsi="Times New Roman" w:hint="eastAsia"/>
          <w:sz w:val="32"/>
          <w:szCs w:val="32"/>
        </w:rPr>
        <w:t>万元，决算数大于年初预算数的主要原因是：年初预算未安排，为年中追加安排的免学费资金和中职奖助学金支出等。</w:t>
      </w:r>
    </w:p>
    <w:p w:rsidR="003C3164" w:rsidRDefault="00526EF3">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、教育支出（类）</w:t>
      </w:r>
      <w:r>
        <w:rPr>
          <w:rFonts w:ascii="Times New Roman" w:eastAsia="仿宋_GB2312" w:hAnsi="Times New Roman" w:hint="eastAsia"/>
          <w:sz w:val="32"/>
          <w:szCs w:val="32"/>
        </w:rPr>
        <w:t>职业教育</w:t>
      </w:r>
      <w:r>
        <w:rPr>
          <w:rFonts w:ascii="Times New Roman" w:eastAsia="仿宋_GB2312" w:hAnsi="Times New Roman" w:hint="eastAsia"/>
          <w:sz w:val="32"/>
          <w:szCs w:val="32"/>
        </w:rPr>
        <w:t>（款）</w:t>
      </w:r>
      <w:r>
        <w:rPr>
          <w:rFonts w:ascii="Times New Roman" w:eastAsia="仿宋_GB2312" w:hAnsi="Times New Roman" w:hint="eastAsia"/>
          <w:sz w:val="32"/>
          <w:szCs w:val="32"/>
        </w:rPr>
        <w:t>高等职业教育</w:t>
      </w:r>
      <w:r>
        <w:rPr>
          <w:rFonts w:ascii="Times New Roman" w:eastAsia="仿宋_GB2312" w:hAnsi="Times New Roman" w:hint="eastAsia"/>
          <w:sz w:val="32"/>
          <w:szCs w:val="32"/>
        </w:rPr>
        <w:t>（项）。</w:t>
      </w:r>
    </w:p>
    <w:p w:rsidR="003C3164" w:rsidRDefault="00526EF3">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2896.92</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5799.78</w:t>
      </w:r>
      <w:r>
        <w:rPr>
          <w:rFonts w:ascii="Times New Roman" w:eastAsia="仿宋_GB2312" w:hAnsi="Times New Roman" w:hint="eastAsia"/>
          <w:sz w:val="32"/>
          <w:szCs w:val="32"/>
        </w:rPr>
        <w:t>万</w:t>
      </w:r>
      <w:r>
        <w:rPr>
          <w:rFonts w:ascii="Times New Roman" w:eastAsia="仿宋_GB2312" w:hAnsi="Times New Roman" w:hint="eastAsia"/>
          <w:sz w:val="32"/>
          <w:szCs w:val="32"/>
        </w:rPr>
        <w:t>元，完成年初预算的</w:t>
      </w:r>
      <w:r>
        <w:rPr>
          <w:rFonts w:ascii="Times New Roman" w:eastAsia="仿宋_GB2312" w:hAnsi="Times New Roman" w:hint="eastAsia"/>
          <w:sz w:val="32"/>
          <w:szCs w:val="32"/>
        </w:rPr>
        <w:t>200.21%</w:t>
      </w:r>
      <w:r>
        <w:rPr>
          <w:rFonts w:ascii="Times New Roman" w:eastAsia="仿宋_GB2312" w:hAnsi="Times New Roman" w:hint="eastAsia"/>
          <w:sz w:val="32"/>
          <w:szCs w:val="32"/>
        </w:rPr>
        <w:t>，决算数大于年初预算数的主要原因是：年中追加安排的生均奖补资金和高职奖助学金支出等。</w:t>
      </w:r>
    </w:p>
    <w:p w:rsidR="003C3164" w:rsidRDefault="00526EF3">
      <w:pPr>
        <w:pStyle w:val="Default"/>
        <w:numPr>
          <w:ilvl w:val="0"/>
          <w:numId w:val="1"/>
        </w:numPr>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教育支出（类）</w:t>
      </w:r>
      <w:r>
        <w:rPr>
          <w:rFonts w:ascii="Times New Roman" w:eastAsia="仿宋_GB2312" w:hAnsi="Times New Roman" w:hint="eastAsia"/>
          <w:sz w:val="32"/>
          <w:szCs w:val="32"/>
        </w:rPr>
        <w:t>职业教育</w:t>
      </w:r>
      <w:r>
        <w:rPr>
          <w:rFonts w:ascii="Times New Roman" w:eastAsia="仿宋_GB2312" w:hAnsi="Times New Roman" w:hint="eastAsia"/>
          <w:sz w:val="32"/>
          <w:szCs w:val="32"/>
        </w:rPr>
        <w:t>（款）</w:t>
      </w:r>
      <w:r>
        <w:rPr>
          <w:rFonts w:ascii="Times New Roman" w:eastAsia="仿宋_GB2312" w:hAnsi="Times New Roman" w:hint="eastAsia"/>
          <w:sz w:val="32"/>
          <w:szCs w:val="32"/>
        </w:rPr>
        <w:t>其他职业教育支出</w:t>
      </w:r>
      <w:r>
        <w:rPr>
          <w:rFonts w:ascii="Times New Roman" w:eastAsia="仿宋_GB2312" w:hAnsi="Times New Roman" w:hint="eastAsia"/>
          <w:sz w:val="32"/>
          <w:szCs w:val="32"/>
        </w:rPr>
        <w:t>（项）。</w:t>
      </w:r>
    </w:p>
    <w:p w:rsidR="003C3164" w:rsidRDefault="00526EF3">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1148.59</w:t>
      </w:r>
      <w:r>
        <w:rPr>
          <w:rFonts w:ascii="Times New Roman" w:eastAsia="仿宋_GB2312" w:hAnsi="Times New Roman" w:hint="eastAsia"/>
          <w:sz w:val="32"/>
          <w:szCs w:val="32"/>
        </w:rPr>
        <w:t>万元，决算数大于年初预算数的主要原因是：</w:t>
      </w:r>
      <w:r>
        <w:rPr>
          <w:rFonts w:ascii="仿宋_GB2312" w:eastAsia="仿宋_GB2312" w:hAnsi="仿宋_GB2312" w:cs="仿宋_GB2312" w:hint="eastAsia"/>
          <w:sz w:val="32"/>
          <w:szCs w:val="32"/>
        </w:rPr>
        <w:t>年初预算未安排，</w:t>
      </w:r>
      <w:r>
        <w:rPr>
          <w:rFonts w:ascii="仿宋_GB2312" w:eastAsia="仿宋_GB2312" w:hAnsi="仿宋_GB2312" w:cs="仿宋_GB2312" w:hint="eastAsia"/>
          <w:sz w:val="32"/>
          <w:szCs w:val="32"/>
        </w:rPr>
        <w:t>为</w:t>
      </w:r>
      <w:r>
        <w:rPr>
          <w:rFonts w:ascii="Times New Roman" w:eastAsia="仿宋_GB2312" w:hAnsi="Times New Roman" w:hint="eastAsia"/>
          <w:sz w:val="32"/>
          <w:szCs w:val="32"/>
        </w:rPr>
        <w:t>年中追加安排的</w:t>
      </w:r>
      <w:r>
        <w:rPr>
          <w:rFonts w:ascii="Times New Roman" w:eastAsia="仿宋_GB2312" w:hAnsi="Times New Roman" w:hint="eastAsia"/>
          <w:sz w:val="32"/>
          <w:szCs w:val="32"/>
        </w:rPr>
        <w:t>免学费资金</w:t>
      </w:r>
      <w:r>
        <w:rPr>
          <w:rFonts w:ascii="Times New Roman" w:eastAsia="仿宋_GB2312" w:hAnsi="Times New Roman" w:hint="eastAsia"/>
          <w:sz w:val="32"/>
          <w:szCs w:val="32"/>
        </w:rPr>
        <w:t>和</w:t>
      </w:r>
      <w:r>
        <w:rPr>
          <w:rFonts w:ascii="Times New Roman" w:eastAsia="仿宋_GB2312" w:hAnsi="Times New Roman" w:hint="eastAsia"/>
          <w:sz w:val="32"/>
          <w:szCs w:val="32"/>
        </w:rPr>
        <w:t>财政专户非税成本支出</w:t>
      </w:r>
      <w:r>
        <w:rPr>
          <w:rFonts w:ascii="Times New Roman" w:eastAsia="仿宋_GB2312" w:hAnsi="Times New Roman" w:hint="eastAsia"/>
          <w:sz w:val="32"/>
          <w:szCs w:val="32"/>
        </w:rPr>
        <w:t>等。</w:t>
      </w:r>
    </w:p>
    <w:p w:rsidR="003C3164" w:rsidRDefault="00526EF3">
      <w:pPr>
        <w:pStyle w:val="Default"/>
        <w:numPr>
          <w:ilvl w:val="0"/>
          <w:numId w:val="1"/>
        </w:numPr>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教育支出（类）</w:t>
      </w:r>
      <w:r>
        <w:rPr>
          <w:rFonts w:ascii="Times New Roman" w:eastAsia="仿宋_GB2312" w:hAnsi="Times New Roman" w:hint="eastAsia"/>
          <w:sz w:val="32"/>
          <w:szCs w:val="32"/>
        </w:rPr>
        <w:t>教育费附加安排的支出</w:t>
      </w:r>
      <w:r>
        <w:rPr>
          <w:rFonts w:ascii="Times New Roman" w:eastAsia="仿宋_GB2312" w:hAnsi="Times New Roman" w:hint="eastAsia"/>
          <w:sz w:val="32"/>
          <w:szCs w:val="32"/>
        </w:rPr>
        <w:t>（款）</w:t>
      </w:r>
      <w:r>
        <w:rPr>
          <w:rFonts w:ascii="Times New Roman" w:eastAsia="仿宋_GB2312" w:hAnsi="Times New Roman" w:hint="eastAsia"/>
          <w:sz w:val="32"/>
          <w:szCs w:val="32"/>
        </w:rPr>
        <w:t>其他教育费附加安排的支出</w:t>
      </w:r>
      <w:r>
        <w:rPr>
          <w:rFonts w:ascii="Times New Roman" w:eastAsia="仿宋_GB2312" w:hAnsi="Times New Roman" w:hint="eastAsia"/>
          <w:sz w:val="32"/>
          <w:szCs w:val="32"/>
        </w:rPr>
        <w:t>（项）。</w:t>
      </w:r>
    </w:p>
    <w:p w:rsidR="003C3164" w:rsidRDefault="00526EF3">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123.71</w:t>
      </w:r>
      <w:r>
        <w:rPr>
          <w:rFonts w:ascii="Times New Roman" w:eastAsia="仿宋_GB2312" w:hAnsi="Times New Roman" w:hint="eastAsia"/>
          <w:sz w:val="32"/>
          <w:szCs w:val="32"/>
        </w:rPr>
        <w:t>万元，决算数大于年初预算数的</w:t>
      </w:r>
      <w:r>
        <w:rPr>
          <w:rFonts w:ascii="Times New Roman" w:eastAsia="仿宋_GB2312" w:hAnsi="Times New Roman" w:hint="eastAsia"/>
          <w:sz w:val="32"/>
          <w:szCs w:val="32"/>
        </w:rPr>
        <w:lastRenderedPageBreak/>
        <w:t>主要原因是：</w:t>
      </w:r>
      <w:r>
        <w:rPr>
          <w:rFonts w:ascii="仿宋_GB2312" w:eastAsia="仿宋_GB2312" w:hAnsi="仿宋_GB2312" w:cs="仿宋_GB2312" w:hint="eastAsia"/>
          <w:sz w:val="32"/>
          <w:szCs w:val="32"/>
        </w:rPr>
        <w:t>年初预算未安排，</w:t>
      </w:r>
      <w:r>
        <w:rPr>
          <w:rFonts w:ascii="仿宋_GB2312" w:eastAsia="仿宋_GB2312" w:hAnsi="仿宋_GB2312" w:cs="仿宋_GB2312" w:hint="eastAsia"/>
          <w:sz w:val="32"/>
          <w:szCs w:val="32"/>
        </w:rPr>
        <w:t>为</w:t>
      </w:r>
      <w:r>
        <w:rPr>
          <w:rFonts w:ascii="Times New Roman" w:eastAsia="仿宋_GB2312" w:hAnsi="Times New Roman" w:hint="eastAsia"/>
          <w:sz w:val="32"/>
          <w:szCs w:val="32"/>
        </w:rPr>
        <w:t>年中追加安排的</w:t>
      </w:r>
      <w:r>
        <w:rPr>
          <w:rFonts w:ascii="Times New Roman" w:eastAsia="仿宋_GB2312" w:hAnsi="Times New Roman" w:hint="eastAsia"/>
          <w:sz w:val="32"/>
          <w:szCs w:val="32"/>
        </w:rPr>
        <w:t>助学金支出。</w:t>
      </w:r>
    </w:p>
    <w:p w:rsidR="003C3164" w:rsidRDefault="00526EF3">
      <w:pPr>
        <w:pStyle w:val="Default"/>
        <w:numPr>
          <w:ilvl w:val="0"/>
          <w:numId w:val="1"/>
        </w:numPr>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社会保障和就业支出（类）</w:t>
      </w:r>
      <w:r>
        <w:rPr>
          <w:rFonts w:ascii="Times New Roman" w:eastAsia="仿宋_GB2312" w:hAnsi="Times New Roman" w:hint="eastAsia"/>
          <w:sz w:val="32"/>
          <w:szCs w:val="32"/>
        </w:rPr>
        <w:t>行政事业单位养老支出</w:t>
      </w:r>
      <w:r>
        <w:rPr>
          <w:rFonts w:ascii="Times New Roman" w:eastAsia="仿宋_GB2312" w:hAnsi="Times New Roman" w:hint="eastAsia"/>
          <w:sz w:val="32"/>
          <w:szCs w:val="32"/>
        </w:rPr>
        <w:t>（款）</w:t>
      </w:r>
      <w:r>
        <w:rPr>
          <w:rFonts w:ascii="Times New Roman" w:eastAsia="仿宋_GB2312" w:hAnsi="Times New Roman" w:hint="eastAsia"/>
          <w:sz w:val="32"/>
          <w:szCs w:val="32"/>
        </w:rPr>
        <w:t>机关事业单位基本养老保险缴费支出</w:t>
      </w:r>
      <w:r>
        <w:rPr>
          <w:rFonts w:ascii="Times New Roman" w:eastAsia="仿宋_GB2312" w:hAnsi="Times New Roman" w:hint="eastAsia"/>
          <w:sz w:val="32"/>
          <w:szCs w:val="32"/>
        </w:rPr>
        <w:t>（项）。</w:t>
      </w:r>
    </w:p>
    <w:p w:rsidR="003C3164" w:rsidRDefault="00526EF3">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290.94</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309.55</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106.40</w:t>
      </w:r>
      <w:r>
        <w:rPr>
          <w:rFonts w:ascii="Times New Roman" w:eastAsia="仿宋_GB2312" w:hAnsi="Times New Roman" w:hint="eastAsia"/>
          <w:sz w:val="32"/>
          <w:szCs w:val="32"/>
        </w:rPr>
        <w:t>%</w:t>
      </w:r>
      <w:r>
        <w:rPr>
          <w:rFonts w:ascii="Times New Roman" w:eastAsia="仿宋_GB2312" w:hAnsi="Times New Roman" w:hint="eastAsia"/>
          <w:sz w:val="32"/>
          <w:szCs w:val="32"/>
        </w:rPr>
        <w:t>，</w:t>
      </w:r>
      <w:r>
        <w:rPr>
          <w:rFonts w:ascii="Times New Roman" w:eastAsia="仿宋_GB2312" w:hAnsi="Times New Roman" w:hint="eastAsia"/>
          <w:sz w:val="32"/>
          <w:szCs w:val="32"/>
        </w:rPr>
        <w:t>决算数大于年初预算数的主要原因是：年中追加安排的机关事业单位基本养老保险缴费支出</w:t>
      </w:r>
      <w:r>
        <w:rPr>
          <w:rFonts w:ascii="Times New Roman" w:eastAsia="仿宋_GB2312" w:hAnsi="Times New Roman" w:hint="eastAsia"/>
          <w:sz w:val="32"/>
          <w:szCs w:val="32"/>
        </w:rPr>
        <w:t>。</w:t>
      </w:r>
    </w:p>
    <w:p w:rsidR="003C3164" w:rsidRDefault="00526EF3">
      <w:pPr>
        <w:pStyle w:val="Default"/>
        <w:numPr>
          <w:ilvl w:val="0"/>
          <w:numId w:val="1"/>
        </w:numPr>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社会保障和就业支出（类）</w:t>
      </w:r>
      <w:r>
        <w:rPr>
          <w:rFonts w:ascii="Times New Roman" w:eastAsia="仿宋_GB2312" w:hAnsi="Times New Roman" w:hint="eastAsia"/>
          <w:sz w:val="32"/>
          <w:szCs w:val="32"/>
        </w:rPr>
        <w:t>抚恤</w:t>
      </w:r>
      <w:r>
        <w:rPr>
          <w:rFonts w:ascii="Times New Roman" w:eastAsia="仿宋_GB2312" w:hAnsi="Times New Roman" w:hint="eastAsia"/>
          <w:sz w:val="32"/>
          <w:szCs w:val="32"/>
        </w:rPr>
        <w:t>（款）</w:t>
      </w:r>
      <w:r>
        <w:rPr>
          <w:rFonts w:ascii="Times New Roman" w:eastAsia="仿宋_GB2312" w:hAnsi="Times New Roman" w:hint="eastAsia"/>
          <w:sz w:val="32"/>
          <w:szCs w:val="32"/>
        </w:rPr>
        <w:t>死亡抚恤</w:t>
      </w:r>
      <w:r>
        <w:rPr>
          <w:rFonts w:ascii="Times New Roman" w:eastAsia="仿宋_GB2312" w:hAnsi="Times New Roman" w:hint="eastAsia"/>
          <w:sz w:val="32"/>
          <w:szCs w:val="32"/>
        </w:rPr>
        <w:t>（项）。</w:t>
      </w:r>
    </w:p>
    <w:p w:rsidR="003C3164" w:rsidRDefault="00526EF3">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15.41</w:t>
      </w:r>
      <w:r>
        <w:rPr>
          <w:rFonts w:ascii="Times New Roman" w:eastAsia="仿宋_GB2312" w:hAnsi="Times New Roman" w:hint="eastAsia"/>
          <w:sz w:val="32"/>
          <w:szCs w:val="32"/>
        </w:rPr>
        <w:t>万元，决算数大于年初预算数的主要原因是：</w:t>
      </w:r>
      <w:r>
        <w:rPr>
          <w:rFonts w:ascii="仿宋_GB2312" w:eastAsia="仿宋_GB2312" w:hAnsi="仿宋_GB2312" w:cs="仿宋_GB2312" w:hint="eastAsia"/>
          <w:sz w:val="32"/>
          <w:szCs w:val="32"/>
        </w:rPr>
        <w:t>年初预算未安排，</w:t>
      </w:r>
      <w:r>
        <w:rPr>
          <w:rFonts w:ascii="仿宋_GB2312" w:eastAsia="仿宋_GB2312" w:hAnsi="仿宋_GB2312" w:cs="仿宋_GB2312" w:hint="eastAsia"/>
          <w:sz w:val="32"/>
          <w:szCs w:val="32"/>
        </w:rPr>
        <w:t>为</w:t>
      </w:r>
      <w:r>
        <w:rPr>
          <w:rFonts w:ascii="Times New Roman" w:eastAsia="仿宋_GB2312" w:hAnsi="Times New Roman" w:hint="eastAsia"/>
          <w:sz w:val="32"/>
          <w:szCs w:val="32"/>
        </w:rPr>
        <w:t>年中追加安排的</w:t>
      </w:r>
      <w:r>
        <w:rPr>
          <w:rFonts w:ascii="Times New Roman" w:eastAsia="仿宋_GB2312" w:hAnsi="Times New Roman" w:hint="eastAsia"/>
          <w:sz w:val="32"/>
          <w:szCs w:val="32"/>
        </w:rPr>
        <w:t>抚恤金支出。</w:t>
      </w:r>
    </w:p>
    <w:p w:rsidR="003C3164" w:rsidRDefault="00526EF3">
      <w:pPr>
        <w:pStyle w:val="Default"/>
        <w:numPr>
          <w:ilvl w:val="0"/>
          <w:numId w:val="1"/>
        </w:numPr>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住房保障支出（类）</w:t>
      </w:r>
      <w:r>
        <w:rPr>
          <w:rFonts w:ascii="Times New Roman" w:eastAsia="仿宋_GB2312" w:hAnsi="Times New Roman" w:hint="eastAsia"/>
          <w:sz w:val="32"/>
          <w:szCs w:val="32"/>
        </w:rPr>
        <w:t>住房改革支出</w:t>
      </w:r>
      <w:r>
        <w:rPr>
          <w:rFonts w:ascii="Times New Roman" w:eastAsia="仿宋_GB2312" w:hAnsi="Times New Roman" w:hint="eastAsia"/>
          <w:sz w:val="32"/>
          <w:szCs w:val="32"/>
        </w:rPr>
        <w:t>（款）</w:t>
      </w:r>
      <w:r>
        <w:rPr>
          <w:rFonts w:ascii="Times New Roman" w:eastAsia="仿宋_GB2312" w:hAnsi="Times New Roman" w:hint="eastAsia"/>
          <w:sz w:val="32"/>
          <w:szCs w:val="32"/>
        </w:rPr>
        <w:t>住房公积金</w:t>
      </w:r>
      <w:r>
        <w:rPr>
          <w:rFonts w:ascii="Times New Roman" w:eastAsia="仿宋_GB2312" w:hAnsi="Times New Roman" w:hint="eastAsia"/>
          <w:sz w:val="32"/>
          <w:szCs w:val="32"/>
        </w:rPr>
        <w:t>（项）。</w:t>
      </w:r>
    </w:p>
    <w:p w:rsidR="003C3164" w:rsidRDefault="00526EF3">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218.20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228.14</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104.56</w:t>
      </w:r>
      <w:r>
        <w:rPr>
          <w:rFonts w:ascii="Times New Roman" w:eastAsia="仿宋_GB2312" w:hAnsi="Times New Roman" w:hint="eastAsia"/>
          <w:sz w:val="32"/>
          <w:szCs w:val="32"/>
        </w:rPr>
        <w:t>%</w:t>
      </w:r>
      <w:r>
        <w:rPr>
          <w:rFonts w:ascii="Times New Roman" w:eastAsia="仿宋_GB2312" w:hAnsi="Times New Roman" w:hint="eastAsia"/>
          <w:sz w:val="32"/>
          <w:szCs w:val="32"/>
        </w:rPr>
        <w:t>，</w:t>
      </w:r>
      <w:r>
        <w:rPr>
          <w:rFonts w:ascii="Times New Roman" w:eastAsia="仿宋_GB2312" w:hAnsi="Times New Roman" w:hint="eastAsia"/>
          <w:sz w:val="32"/>
          <w:szCs w:val="32"/>
        </w:rPr>
        <w:t>决算数大于年初预算数的主要原因是：</w:t>
      </w:r>
      <w:r>
        <w:rPr>
          <w:rFonts w:ascii="仿宋_GB2312" w:eastAsia="仿宋_GB2312" w:hAnsi="仿宋_GB2312" w:cs="仿宋_GB2312" w:hint="eastAsia"/>
          <w:sz w:val="32"/>
          <w:szCs w:val="32"/>
        </w:rPr>
        <w:t>为</w:t>
      </w:r>
      <w:r>
        <w:rPr>
          <w:rFonts w:ascii="Times New Roman" w:eastAsia="仿宋_GB2312" w:hAnsi="Times New Roman" w:hint="eastAsia"/>
          <w:sz w:val="32"/>
          <w:szCs w:val="32"/>
        </w:rPr>
        <w:t>年中追加安排的</w:t>
      </w:r>
      <w:r>
        <w:rPr>
          <w:rFonts w:ascii="Times New Roman" w:eastAsia="仿宋_GB2312" w:hAnsi="Times New Roman" w:hint="eastAsia"/>
          <w:sz w:val="32"/>
          <w:szCs w:val="32"/>
        </w:rPr>
        <w:t>住房公积金支出。</w:t>
      </w:r>
    </w:p>
    <w:p w:rsidR="003C3164" w:rsidRDefault="00526EF3">
      <w:pPr>
        <w:pStyle w:val="Default"/>
        <w:numPr>
          <w:ilvl w:val="0"/>
          <w:numId w:val="1"/>
        </w:numPr>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卫生健康支出（类）</w:t>
      </w:r>
      <w:r>
        <w:rPr>
          <w:rFonts w:ascii="Times New Roman" w:eastAsia="仿宋_GB2312" w:hAnsi="Times New Roman" w:hint="eastAsia"/>
          <w:sz w:val="32"/>
          <w:szCs w:val="32"/>
        </w:rPr>
        <w:t>行政事业单位医疗</w:t>
      </w:r>
      <w:r>
        <w:rPr>
          <w:rFonts w:ascii="Times New Roman" w:eastAsia="仿宋_GB2312" w:hAnsi="Times New Roman" w:hint="eastAsia"/>
          <w:sz w:val="32"/>
          <w:szCs w:val="32"/>
        </w:rPr>
        <w:t>（款）</w:t>
      </w:r>
      <w:r>
        <w:rPr>
          <w:rFonts w:ascii="Times New Roman" w:eastAsia="仿宋_GB2312" w:hAnsi="Times New Roman" w:hint="eastAsia"/>
          <w:sz w:val="32"/>
          <w:szCs w:val="32"/>
        </w:rPr>
        <w:t>行政单位医疗</w:t>
      </w:r>
      <w:r>
        <w:rPr>
          <w:rFonts w:ascii="Times New Roman" w:eastAsia="仿宋_GB2312" w:hAnsi="Times New Roman" w:hint="eastAsia"/>
          <w:sz w:val="32"/>
          <w:szCs w:val="32"/>
        </w:rPr>
        <w:t>（项）。</w:t>
      </w:r>
    </w:p>
    <w:p w:rsidR="003C3164" w:rsidRDefault="00526EF3">
      <w:pPr>
        <w:pStyle w:val="Default"/>
        <w:spacing w:line="600" w:lineRule="exact"/>
        <w:ind w:firstLineChars="200" w:firstLine="640"/>
        <w:rPr>
          <w:rFonts w:ascii="仿宋_GB2312" w:eastAsia="仿宋_GB2312" w:hAnsi="仿宋_GB2312" w:cs="仿宋_GB2312"/>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10.12</w:t>
      </w:r>
      <w:r>
        <w:rPr>
          <w:rFonts w:ascii="Times New Roman" w:eastAsia="仿宋_GB2312" w:hAnsi="Times New Roman" w:hint="eastAsia"/>
          <w:sz w:val="32"/>
          <w:szCs w:val="32"/>
        </w:rPr>
        <w:t>万元，决算数大于年初预算数的主要原因是：</w:t>
      </w:r>
      <w:r>
        <w:rPr>
          <w:rFonts w:ascii="仿宋_GB2312" w:eastAsia="仿宋_GB2312" w:hAnsi="仿宋_GB2312" w:cs="仿宋_GB2312" w:hint="eastAsia"/>
          <w:sz w:val="32"/>
          <w:szCs w:val="32"/>
        </w:rPr>
        <w:t>年初预算未安排，</w:t>
      </w:r>
      <w:r>
        <w:rPr>
          <w:rFonts w:ascii="仿宋_GB2312" w:eastAsia="仿宋_GB2312" w:hAnsi="仿宋_GB2312" w:cs="仿宋_GB2312" w:hint="eastAsia"/>
          <w:sz w:val="32"/>
          <w:szCs w:val="32"/>
        </w:rPr>
        <w:t>为年中追加安排的事业单位医疗保险缴费支出。</w:t>
      </w:r>
    </w:p>
    <w:p w:rsidR="003C3164" w:rsidRDefault="00526EF3">
      <w:pPr>
        <w:pStyle w:val="Default"/>
        <w:numPr>
          <w:ilvl w:val="0"/>
          <w:numId w:val="1"/>
        </w:numPr>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卫生健康支出（类）</w:t>
      </w:r>
      <w:r>
        <w:rPr>
          <w:rFonts w:ascii="Times New Roman" w:eastAsia="仿宋_GB2312" w:hAnsi="Times New Roman" w:hint="eastAsia"/>
          <w:sz w:val="32"/>
          <w:szCs w:val="32"/>
        </w:rPr>
        <w:t>行政事业单位医疗</w:t>
      </w:r>
      <w:r>
        <w:rPr>
          <w:rFonts w:ascii="Times New Roman" w:eastAsia="仿宋_GB2312" w:hAnsi="Times New Roman" w:hint="eastAsia"/>
          <w:sz w:val="32"/>
          <w:szCs w:val="32"/>
        </w:rPr>
        <w:t>（款）</w:t>
      </w:r>
      <w:r>
        <w:rPr>
          <w:rFonts w:ascii="Times New Roman" w:eastAsia="仿宋_GB2312" w:hAnsi="Times New Roman" w:hint="eastAsia"/>
          <w:sz w:val="32"/>
          <w:szCs w:val="32"/>
        </w:rPr>
        <w:t>事业单位医疗</w:t>
      </w:r>
      <w:r>
        <w:rPr>
          <w:rFonts w:ascii="Times New Roman" w:eastAsia="仿宋_GB2312" w:hAnsi="Times New Roman" w:hint="eastAsia"/>
          <w:sz w:val="32"/>
          <w:szCs w:val="32"/>
        </w:rPr>
        <w:t>（项）。</w:t>
      </w:r>
    </w:p>
    <w:p w:rsidR="003C3164" w:rsidRDefault="00526EF3">
      <w:pPr>
        <w:pStyle w:val="Default"/>
        <w:spacing w:line="600" w:lineRule="exact"/>
        <w:ind w:firstLineChars="200" w:firstLine="640"/>
        <w:rPr>
          <w:rFonts w:ascii="仿宋_GB2312" w:eastAsia="仿宋_GB2312" w:hAnsi="仿宋_GB2312" w:cs="仿宋_GB2312"/>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158.20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158.20</w:t>
      </w:r>
      <w:r>
        <w:rPr>
          <w:rFonts w:ascii="Times New Roman" w:eastAsia="仿宋_GB2312" w:hAnsi="Times New Roman" w:hint="eastAsia"/>
          <w:sz w:val="32"/>
          <w:szCs w:val="32"/>
        </w:rPr>
        <w:t>万元，决算数</w:t>
      </w:r>
      <w:r>
        <w:rPr>
          <w:rFonts w:ascii="Times New Roman" w:eastAsia="仿宋_GB2312" w:hAnsi="Times New Roman" w:hint="eastAsia"/>
          <w:sz w:val="32"/>
          <w:szCs w:val="32"/>
        </w:rPr>
        <w:t>等于</w:t>
      </w:r>
      <w:r>
        <w:rPr>
          <w:rFonts w:ascii="Times New Roman" w:eastAsia="仿宋_GB2312" w:hAnsi="Times New Roman" w:hint="eastAsia"/>
          <w:sz w:val="32"/>
          <w:szCs w:val="32"/>
        </w:rPr>
        <w:t>年初预算数</w:t>
      </w:r>
      <w:r>
        <w:rPr>
          <w:rFonts w:ascii="Times New Roman" w:eastAsia="仿宋_GB2312" w:hAnsi="Times New Roman" w:hint="eastAsia"/>
          <w:sz w:val="32"/>
          <w:szCs w:val="32"/>
        </w:rPr>
        <w:t>。</w:t>
      </w:r>
    </w:p>
    <w:p w:rsidR="003C3164" w:rsidRDefault="00526EF3">
      <w:pPr>
        <w:pStyle w:val="Default"/>
        <w:numPr>
          <w:ilvl w:val="0"/>
          <w:numId w:val="1"/>
        </w:numPr>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国防支出（类）</w:t>
      </w:r>
      <w:r>
        <w:rPr>
          <w:rFonts w:ascii="Times New Roman" w:eastAsia="仿宋_GB2312" w:hAnsi="Times New Roman" w:hint="eastAsia"/>
          <w:sz w:val="32"/>
          <w:szCs w:val="32"/>
        </w:rPr>
        <w:t>国</w:t>
      </w:r>
      <w:r>
        <w:rPr>
          <w:rFonts w:ascii="Times New Roman" w:eastAsia="仿宋_GB2312" w:hAnsi="Times New Roman" w:hint="eastAsia"/>
          <w:sz w:val="32"/>
          <w:szCs w:val="32"/>
        </w:rPr>
        <w:t>防动员</w:t>
      </w:r>
      <w:r>
        <w:rPr>
          <w:rFonts w:ascii="Times New Roman" w:eastAsia="仿宋_GB2312" w:hAnsi="Times New Roman" w:hint="eastAsia"/>
          <w:sz w:val="32"/>
          <w:szCs w:val="32"/>
        </w:rPr>
        <w:t>（款）</w:t>
      </w:r>
      <w:r>
        <w:rPr>
          <w:rFonts w:ascii="Times New Roman" w:eastAsia="仿宋_GB2312" w:hAnsi="Times New Roman" w:hint="eastAsia"/>
          <w:sz w:val="32"/>
          <w:szCs w:val="32"/>
        </w:rPr>
        <w:t>兵役征集</w:t>
      </w:r>
      <w:r>
        <w:rPr>
          <w:rFonts w:ascii="Times New Roman" w:eastAsia="仿宋_GB2312" w:hAnsi="Times New Roman" w:hint="eastAsia"/>
          <w:sz w:val="32"/>
          <w:szCs w:val="32"/>
        </w:rPr>
        <w:t>（项）。</w:t>
      </w:r>
    </w:p>
    <w:p w:rsidR="003C3164" w:rsidRDefault="00526EF3">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18.12</w:t>
      </w:r>
      <w:r>
        <w:rPr>
          <w:rFonts w:ascii="Times New Roman" w:eastAsia="仿宋_GB2312" w:hAnsi="Times New Roman" w:hint="eastAsia"/>
          <w:sz w:val="32"/>
          <w:szCs w:val="32"/>
        </w:rPr>
        <w:t>万元，决算数大于年初预算数的主要原因是：</w:t>
      </w:r>
      <w:r>
        <w:rPr>
          <w:rFonts w:ascii="仿宋_GB2312" w:eastAsia="仿宋_GB2312" w:hAnsi="仿宋_GB2312" w:cs="仿宋_GB2312" w:hint="eastAsia"/>
          <w:sz w:val="32"/>
          <w:szCs w:val="32"/>
        </w:rPr>
        <w:t>年初预算未安排，</w:t>
      </w:r>
      <w:r>
        <w:rPr>
          <w:rFonts w:ascii="仿宋_GB2312" w:eastAsia="仿宋_GB2312" w:hAnsi="仿宋_GB2312" w:cs="仿宋_GB2312" w:hint="eastAsia"/>
          <w:sz w:val="32"/>
          <w:szCs w:val="32"/>
        </w:rPr>
        <w:t>为年中追加安排的征兵工作经费支出。</w:t>
      </w:r>
    </w:p>
    <w:p w:rsidR="003C3164" w:rsidRDefault="00526EF3">
      <w:pPr>
        <w:pStyle w:val="Default"/>
        <w:numPr>
          <w:ilvl w:val="0"/>
          <w:numId w:val="1"/>
        </w:numPr>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科学技术支出（类）</w:t>
      </w:r>
      <w:r>
        <w:rPr>
          <w:rFonts w:ascii="Times New Roman" w:eastAsia="仿宋_GB2312" w:hAnsi="Times New Roman" w:hint="eastAsia"/>
          <w:sz w:val="32"/>
          <w:szCs w:val="32"/>
        </w:rPr>
        <w:t>社会科学</w:t>
      </w:r>
      <w:r>
        <w:rPr>
          <w:rFonts w:ascii="Times New Roman" w:eastAsia="仿宋_GB2312" w:hAnsi="Times New Roman" w:hint="eastAsia"/>
          <w:sz w:val="32"/>
          <w:szCs w:val="32"/>
        </w:rPr>
        <w:t>（款）</w:t>
      </w:r>
      <w:r>
        <w:rPr>
          <w:rFonts w:ascii="Times New Roman" w:eastAsia="仿宋_GB2312" w:hAnsi="Times New Roman" w:hint="eastAsia"/>
          <w:sz w:val="32"/>
          <w:szCs w:val="32"/>
        </w:rPr>
        <w:t>其他社会科学支出</w:t>
      </w:r>
      <w:r>
        <w:rPr>
          <w:rFonts w:ascii="Times New Roman" w:eastAsia="仿宋_GB2312" w:hAnsi="Times New Roman" w:hint="eastAsia"/>
          <w:sz w:val="32"/>
          <w:szCs w:val="32"/>
        </w:rPr>
        <w:t>（项）。</w:t>
      </w:r>
    </w:p>
    <w:p w:rsidR="003C3164" w:rsidRDefault="00526EF3">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w:t>
      </w:r>
      <w:r>
        <w:rPr>
          <w:rFonts w:ascii="Times New Roman" w:eastAsia="仿宋_GB2312" w:hAnsi="Times New Roman" w:hint="eastAsia"/>
          <w:sz w:val="32"/>
          <w:szCs w:val="32"/>
        </w:rPr>
        <w:t>万元，决算数大于年初预算数的主要原因是：</w:t>
      </w:r>
      <w:r>
        <w:rPr>
          <w:rFonts w:ascii="仿宋_GB2312" w:eastAsia="仿宋_GB2312" w:hAnsi="仿宋_GB2312" w:cs="仿宋_GB2312" w:hint="eastAsia"/>
          <w:sz w:val="32"/>
          <w:szCs w:val="32"/>
        </w:rPr>
        <w:t>年初预算未安排，</w:t>
      </w:r>
      <w:r>
        <w:rPr>
          <w:rFonts w:ascii="仿宋_GB2312" w:eastAsia="仿宋_GB2312" w:hAnsi="仿宋_GB2312" w:cs="仿宋_GB2312" w:hint="eastAsia"/>
          <w:sz w:val="32"/>
          <w:szCs w:val="32"/>
        </w:rPr>
        <w:t>为年中追加安排的科研课题经费支出。</w:t>
      </w:r>
    </w:p>
    <w:p w:rsidR="003C3164" w:rsidRDefault="00526EF3">
      <w:pPr>
        <w:pStyle w:val="Default"/>
        <w:spacing w:line="600" w:lineRule="exact"/>
        <w:ind w:firstLineChars="200" w:firstLine="640"/>
        <w:rPr>
          <w:rFonts w:hAnsi="黑体"/>
          <w:bCs/>
          <w:sz w:val="32"/>
          <w:szCs w:val="32"/>
        </w:rPr>
      </w:pPr>
      <w:r>
        <w:rPr>
          <w:rFonts w:hAnsi="黑体" w:hint="eastAsia"/>
          <w:bCs/>
          <w:sz w:val="32"/>
          <w:szCs w:val="32"/>
        </w:rPr>
        <w:lastRenderedPageBreak/>
        <w:t>六、一般公共预算财政拨款基本支出决算情况说明</w:t>
      </w:r>
    </w:p>
    <w:p w:rsidR="003C3164" w:rsidRDefault="00526EF3">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w:t>
      </w:r>
      <w:r>
        <w:rPr>
          <w:rFonts w:ascii="Times New Roman" w:eastAsia="仿宋_GB2312" w:hAnsi="Times New Roman" w:hint="eastAsia"/>
          <w:sz w:val="32"/>
          <w:szCs w:val="32"/>
        </w:rPr>
        <w:t>2</w:t>
      </w:r>
      <w:r>
        <w:rPr>
          <w:rFonts w:ascii="Times New Roman" w:eastAsia="仿宋_GB2312" w:hAnsi="Times New Roman" w:hint="eastAsia"/>
          <w:sz w:val="32"/>
          <w:szCs w:val="32"/>
        </w:rPr>
        <w:t>年度财政拨款基本支出</w:t>
      </w:r>
      <w:r>
        <w:rPr>
          <w:rFonts w:ascii="Times New Roman" w:eastAsia="仿宋_GB2312" w:hAnsi="Times New Roman" w:hint="eastAsia"/>
          <w:sz w:val="32"/>
          <w:szCs w:val="32"/>
        </w:rPr>
        <w:t>4391.13</w:t>
      </w:r>
      <w:r>
        <w:rPr>
          <w:rFonts w:ascii="Times New Roman" w:eastAsia="仿宋_GB2312" w:hAnsi="Times New Roman" w:hint="eastAsia"/>
          <w:sz w:val="32"/>
          <w:szCs w:val="32"/>
        </w:rPr>
        <w:t>万元，其中：</w:t>
      </w:r>
    </w:p>
    <w:p w:rsidR="003C3164" w:rsidRDefault="00526EF3">
      <w:pPr>
        <w:pStyle w:val="Default"/>
        <w:spacing w:line="60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人员经费</w:t>
      </w:r>
      <w:r>
        <w:rPr>
          <w:rFonts w:ascii="Times New Roman" w:eastAsia="仿宋_GB2312" w:hAnsi="Times New Roman" w:hint="eastAsia"/>
          <w:sz w:val="32"/>
          <w:szCs w:val="32"/>
        </w:rPr>
        <w:t>4305.01</w:t>
      </w:r>
      <w:r>
        <w:rPr>
          <w:rFonts w:ascii="Times New Roman" w:eastAsia="仿宋_GB2312" w:hAnsi="Times New Roman" w:hint="eastAsia"/>
          <w:sz w:val="32"/>
          <w:szCs w:val="32"/>
        </w:rPr>
        <w:t>万元，占基本支出的</w:t>
      </w:r>
      <w:r>
        <w:rPr>
          <w:rFonts w:ascii="Times New Roman" w:eastAsia="仿宋_GB2312" w:hAnsi="Times New Roman" w:hint="eastAsia"/>
          <w:sz w:val="32"/>
          <w:szCs w:val="32"/>
        </w:rPr>
        <w:t>98.04%,</w:t>
      </w:r>
      <w:r>
        <w:rPr>
          <w:rFonts w:ascii="Times New Roman" w:eastAsia="仿宋_GB2312" w:hAnsi="Times New Roman" w:hint="eastAsia"/>
          <w:sz w:val="32"/>
          <w:szCs w:val="32"/>
        </w:rPr>
        <w:t>主要包括基本工资、津贴补贴、奖金、</w:t>
      </w:r>
      <w:r>
        <w:rPr>
          <w:rFonts w:ascii="Times New Roman" w:eastAsia="仿宋_GB2312" w:hAnsi="Times New Roman" w:hint="eastAsia"/>
          <w:sz w:val="32"/>
          <w:szCs w:val="32"/>
        </w:rPr>
        <w:t>绩效工资、机关事业单位基本养老保险缴费、职工基本医疗保险缴费、住房公积金、其他工资福利支出、生活补助。</w:t>
      </w:r>
    </w:p>
    <w:p w:rsidR="003C3164" w:rsidRDefault="00526EF3">
      <w:pPr>
        <w:pStyle w:val="Default"/>
        <w:spacing w:line="600" w:lineRule="exact"/>
        <w:ind w:firstLineChars="200" w:firstLine="643"/>
        <w:rPr>
          <w:rFonts w:ascii="Times New Roman" w:eastAsia="仿宋_GB2312" w:hAnsi="Times New Roman"/>
          <w:b/>
          <w:bCs/>
          <w:color w:val="FF0000"/>
          <w:sz w:val="32"/>
          <w:szCs w:val="32"/>
        </w:rPr>
      </w:pPr>
      <w:r>
        <w:rPr>
          <w:rFonts w:ascii="Times New Roman" w:eastAsia="仿宋_GB2312" w:hAnsi="Times New Roman" w:hint="eastAsia"/>
          <w:b/>
          <w:bCs/>
          <w:sz w:val="32"/>
          <w:szCs w:val="32"/>
        </w:rPr>
        <w:t>公用经费</w:t>
      </w:r>
      <w:r>
        <w:rPr>
          <w:rFonts w:ascii="Times New Roman" w:eastAsia="仿宋_GB2312" w:hAnsi="Times New Roman" w:hint="eastAsia"/>
          <w:sz w:val="32"/>
          <w:szCs w:val="32"/>
        </w:rPr>
        <w:t>86.13</w:t>
      </w:r>
      <w:r>
        <w:rPr>
          <w:rFonts w:ascii="Times New Roman" w:eastAsia="仿宋_GB2312" w:hAnsi="Times New Roman" w:hint="eastAsia"/>
          <w:sz w:val="32"/>
          <w:szCs w:val="32"/>
        </w:rPr>
        <w:t>万元，占基本支出的</w:t>
      </w:r>
      <w:r>
        <w:rPr>
          <w:rFonts w:ascii="Times New Roman" w:eastAsia="仿宋_GB2312" w:hAnsi="Times New Roman" w:hint="eastAsia"/>
          <w:sz w:val="32"/>
          <w:szCs w:val="32"/>
        </w:rPr>
        <w:t>1.96%</w:t>
      </w:r>
      <w:r>
        <w:rPr>
          <w:rFonts w:ascii="Times New Roman" w:eastAsia="仿宋_GB2312" w:hAnsi="Times New Roman" w:hint="eastAsia"/>
          <w:sz w:val="32"/>
          <w:szCs w:val="32"/>
        </w:rPr>
        <w:t>，主要包括</w:t>
      </w:r>
      <w:r>
        <w:rPr>
          <w:rFonts w:ascii="Times New Roman" w:eastAsia="仿宋_GB2312" w:hAnsi="Times New Roman" w:hint="eastAsia"/>
          <w:sz w:val="32"/>
          <w:szCs w:val="32"/>
        </w:rPr>
        <w:t>工会经费</w:t>
      </w:r>
      <w:r>
        <w:rPr>
          <w:rFonts w:ascii="Times New Roman" w:eastAsia="仿宋_GB2312" w:hAnsi="Times New Roman" w:hint="eastAsia"/>
          <w:sz w:val="32"/>
          <w:szCs w:val="32"/>
        </w:rPr>
        <w:t>、</w:t>
      </w:r>
      <w:r>
        <w:rPr>
          <w:rFonts w:ascii="Times New Roman" w:eastAsia="仿宋_GB2312" w:hAnsi="Times New Roman" w:hint="eastAsia"/>
          <w:sz w:val="32"/>
          <w:szCs w:val="32"/>
        </w:rPr>
        <w:t>公务用车运行维护费、其他交通费用、劳务费、其他商品和服务支出</w:t>
      </w:r>
      <w:r>
        <w:rPr>
          <w:rFonts w:ascii="Times New Roman" w:eastAsia="仿宋_GB2312" w:hAnsi="Times New Roman" w:hint="eastAsia"/>
          <w:sz w:val="32"/>
          <w:szCs w:val="32"/>
        </w:rPr>
        <w:t>。</w:t>
      </w:r>
    </w:p>
    <w:p w:rsidR="003C3164" w:rsidRDefault="00526EF3">
      <w:pPr>
        <w:pStyle w:val="Default"/>
        <w:numPr>
          <w:ilvl w:val="0"/>
          <w:numId w:val="2"/>
        </w:numPr>
        <w:spacing w:line="600" w:lineRule="exact"/>
        <w:ind w:firstLineChars="200" w:firstLine="640"/>
        <w:rPr>
          <w:rFonts w:hAnsi="黑体"/>
          <w:bCs/>
          <w:sz w:val="32"/>
          <w:szCs w:val="32"/>
        </w:rPr>
      </w:pPr>
      <w:r>
        <w:rPr>
          <w:rFonts w:hAnsi="黑体" w:hint="eastAsia"/>
          <w:bCs/>
          <w:sz w:val="32"/>
          <w:szCs w:val="32"/>
        </w:rPr>
        <w:t>财政拨款三公经费支出决算情况说明</w:t>
      </w:r>
    </w:p>
    <w:p w:rsidR="003C3164" w:rsidRDefault="00526EF3">
      <w:pPr>
        <w:pStyle w:val="Default"/>
        <w:spacing w:line="600" w:lineRule="exact"/>
        <w:ind w:firstLineChars="200" w:firstLine="643"/>
        <w:rPr>
          <w:rFonts w:ascii="楷体" w:eastAsia="楷体" w:hAnsi="楷体" w:cs="楷体"/>
          <w:b/>
          <w:sz w:val="32"/>
          <w:szCs w:val="32"/>
        </w:rPr>
      </w:pPr>
      <w:r>
        <w:rPr>
          <w:rFonts w:ascii="楷体" w:eastAsia="楷体" w:hAnsi="楷体" w:cs="楷体" w:hint="eastAsia"/>
          <w:b/>
          <w:sz w:val="32"/>
          <w:szCs w:val="32"/>
        </w:rPr>
        <w:t>（一）“三公”经费财政拨款支出决算总体情况说明</w:t>
      </w:r>
    </w:p>
    <w:p w:rsidR="003C3164" w:rsidRDefault="00526EF3">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“三公”经费财政拨款支出预算为</w:t>
      </w:r>
      <w:r>
        <w:rPr>
          <w:rFonts w:ascii="Times New Roman" w:eastAsia="仿宋_GB2312" w:hAnsi="Times New Roman" w:hint="eastAsia"/>
          <w:sz w:val="32"/>
          <w:szCs w:val="32"/>
        </w:rPr>
        <w:t>20.36</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20.36</w:t>
      </w:r>
      <w:r>
        <w:rPr>
          <w:rFonts w:ascii="Times New Roman" w:eastAsia="仿宋_GB2312" w:hAnsi="Times New Roman" w:hint="eastAsia"/>
          <w:sz w:val="32"/>
          <w:szCs w:val="32"/>
        </w:rPr>
        <w:t>万元，完成预算的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w:t>
      </w:r>
      <w:r>
        <w:rPr>
          <w:rFonts w:ascii="Times New Roman" w:eastAsia="仿宋_GB2312" w:hAnsi="Times New Roman" w:hint="eastAsia"/>
          <w:sz w:val="32"/>
          <w:szCs w:val="32"/>
        </w:rPr>
        <w:t>，其中：</w:t>
      </w:r>
    </w:p>
    <w:p w:rsidR="003C3164" w:rsidRDefault="00526EF3">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因公出国（境）费支出预算为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万元，决算数等于预算数，与上年持平。</w:t>
      </w:r>
    </w:p>
    <w:p w:rsidR="003C3164" w:rsidRDefault="00526EF3">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公务接待费支出预算为</w:t>
      </w:r>
      <w:r>
        <w:rPr>
          <w:rFonts w:ascii="Times New Roman" w:eastAsia="仿宋_GB2312" w:hAnsi="Times New Roman" w:hint="eastAsia"/>
          <w:sz w:val="32"/>
          <w:szCs w:val="32"/>
        </w:rPr>
        <w:t>5.41</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5.41</w:t>
      </w:r>
      <w:r>
        <w:rPr>
          <w:rFonts w:ascii="Times New Roman" w:eastAsia="仿宋_GB2312" w:hAnsi="Times New Roman" w:hint="eastAsia"/>
          <w:sz w:val="32"/>
          <w:szCs w:val="32"/>
        </w:rPr>
        <w:t>万元，完成预算的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w:t>
      </w:r>
      <w:r>
        <w:rPr>
          <w:rFonts w:ascii="Times New Roman" w:eastAsia="仿宋_GB2312" w:hAnsi="Times New Roman" w:hint="eastAsia"/>
          <w:sz w:val="32"/>
          <w:szCs w:val="32"/>
        </w:rPr>
        <w:t>，决算数等于预算数，</w:t>
      </w:r>
      <w:r>
        <w:rPr>
          <w:rFonts w:ascii="Times New Roman" w:eastAsia="仿宋_GB2312" w:hAnsi="Times New Roman" w:hint="eastAsia"/>
          <w:sz w:val="32"/>
          <w:szCs w:val="32"/>
        </w:rPr>
        <w:t>与上年相比增加</w:t>
      </w:r>
      <w:r>
        <w:rPr>
          <w:rFonts w:ascii="Times New Roman" w:eastAsia="仿宋_GB2312" w:hAnsi="Times New Roman" w:hint="eastAsia"/>
          <w:sz w:val="32"/>
          <w:szCs w:val="32"/>
        </w:rPr>
        <w:t>5.41</w:t>
      </w:r>
      <w:r>
        <w:rPr>
          <w:rFonts w:ascii="Times New Roman" w:eastAsia="仿宋_GB2312" w:hAnsi="Times New Roman" w:hint="eastAsia"/>
          <w:sz w:val="32"/>
          <w:szCs w:val="32"/>
        </w:rPr>
        <w:t>万元，增长的主要原因是</w:t>
      </w:r>
      <w:r>
        <w:rPr>
          <w:rFonts w:ascii="Times New Roman" w:eastAsia="仿宋_GB2312" w:hAnsi="Times New Roman" w:hint="eastAsia"/>
          <w:sz w:val="32"/>
          <w:szCs w:val="32"/>
        </w:rPr>
        <w:t>2022</w:t>
      </w:r>
      <w:r>
        <w:rPr>
          <w:rFonts w:ascii="Times New Roman" w:eastAsia="仿宋_GB2312" w:hAnsi="Times New Roman" w:hint="eastAsia"/>
          <w:sz w:val="32"/>
          <w:szCs w:val="32"/>
        </w:rPr>
        <w:t>年三公经费统计口径与上年不一致，</w:t>
      </w:r>
      <w:r>
        <w:rPr>
          <w:rFonts w:ascii="Times New Roman" w:eastAsia="仿宋_GB2312" w:hAnsi="Times New Roman" w:hint="eastAsia"/>
          <w:sz w:val="32"/>
          <w:szCs w:val="32"/>
        </w:rPr>
        <w:t>2022</w:t>
      </w:r>
      <w:r>
        <w:rPr>
          <w:rFonts w:ascii="Times New Roman" w:eastAsia="仿宋_GB2312" w:hAnsi="Times New Roman" w:hint="eastAsia"/>
          <w:sz w:val="32"/>
          <w:szCs w:val="32"/>
        </w:rPr>
        <w:t>年为</w:t>
      </w:r>
      <w:bookmarkStart w:id="0" w:name="_GoBack"/>
      <w:bookmarkEnd w:id="0"/>
      <w:r>
        <w:rPr>
          <w:rFonts w:ascii="Times New Roman" w:eastAsia="仿宋_GB2312" w:hAnsi="Times New Roman" w:hint="eastAsia"/>
          <w:sz w:val="32"/>
          <w:szCs w:val="32"/>
        </w:rPr>
        <w:t>财政拨款口径，而</w:t>
      </w:r>
      <w:r>
        <w:rPr>
          <w:rFonts w:ascii="Times New Roman" w:eastAsia="仿宋_GB2312" w:hAnsi="Times New Roman" w:hint="eastAsia"/>
          <w:sz w:val="32"/>
          <w:szCs w:val="32"/>
        </w:rPr>
        <w:t>2021</w:t>
      </w:r>
      <w:r>
        <w:rPr>
          <w:rFonts w:ascii="Times New Roman" w:eastAsia="仿宋_GB2312" w:hAnsi="Times New Roman" w:hint="eastAsia"/>
          <w:sz w:val="32"/>
          <w:szCs w:val="32"/>
        </w:rPr>
        <w:t>年为一般公共预算财政拨款口径。</w:t>
      </w:r>
    </w:p>
    <w:p w:rsidR="003C3164" w:rsidRDefault="00526EF3">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公务用车购置费支出预算为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万元，决算数等于预算数，与上年持平。</w:t>
      </w:r>
    </w:p>
    <w:p w:rsidR="003C3164" w:rsidRDefault="00526EF3">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公务用车运行维护费支出预算为</w:t>
      </w:r>
      <w:r>
        <w:rPr>
          <w:rFonts w:ascii="Times New Roman" w:eastAsia="仿宋_GB2312" w:hAnsi="Times New Roman" w:hint="eastAsia"/>
          <w:sz w:val="32"/>
          <w:szCs w:val="32"/>
        </w:rPr>
        <w:t>14.95</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14.95</w:t>
      </w:r>
      <w:r>
        <w:rPr>
          <w:rFonts w:ascii="Times New Roman" w:eastAsia="仿宋_GB2312" w:hAnsi="Times New Roman" w:hint="eastAsia"/>
          <w:sz w:val="32"/>
          <w:szCs w:val="32"/>
        </w:rPr>
        <w:t>万元，完成预算的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w:t>
      </w:r>
      <w:r>
        <w:rPr>
          <w:rFonts w:ascii="Times New Roman" w:eastAsia="仿宋_GB2312" w:hAnsi="Times New Roman" w:hint="eastAsia"/>
          <w:sz w:val="32"/>
          <w:szCs w:val="32"/>
        </w:rPr>
        <w:t>，决算数等于预算数，与上年相比增加</w:t>
      </w:r>
      <w:r>
        <w:rPr>
          <w:rFonts w:ascii="Times New Roman" w:eastAsia="仿宋_GB2312" w:hAnsi="Times New Roman" w:hint="eastAsia"/>
          <w:sz w:val="32"/>
          <w:szCs w:val="32"/>
        </w:rPr>
        <w:t>4.43</w:t>
      </w:r>
      <w:r>
        <w:rPr>
          <w:rFonts w:ascii="Times New Roman" w:eastAsia="仿宋_GB2312" w:hAnsi="Times New Roman" w:hint="eastAsia"/>
          <w:sz w:val="32"/>
          <w:szCs w:val="32"/>
        </w:rPr>
        <w:t>万元，增长</w:t>
      </w:r>
      <w:r>
        <w:rPr>
          <w:rFonts w:ascii="Times New Roman" w:eastAsia="仿宋_GB2312" w:hAnsi="Times New Roman" w:hint="eastAsia"/>
          <w:sz w:val="32"/>
          <w:szCs w:val="32"/>
        </w:rPr>
        <w:t>42.11</w:t>
      </w:r>
      <w:r>
        <w:rPr>
          <w:rFonts w:ascii="Times New Roman" w:eastAsia="仿宋_GB2312" w:hAnsi="Times New Roman" w:hint="eastAsia"/>
          <w:sz w:val="32"/>
          <w:szCs w:val="32"/>
        </w:rPr>
        <w:t>%,</w:t>
      </w:r>
      <w:r>
        <w:rPr>
          <w:rFonts w:ascii="Times New Roman" w:eastAsia="仿宋_GB2312" w:hAnsi="Times New Roman" w:hint="eastAsia"/>
          <w:sz w:val="32"/>
          <w:szCs w:val="32"/>
        </w:rPr>
        <w:t>增长的主要原因是</w:t>
      </w:r>
      <w:r>
        <w:rPr>
          <w:rFonts w:ascii="Times New Roman" w:eastAsia="仿宋_GB2312" w:hAnsi="Times New Roman" w:hint="eastAsia"/>
          <w:sz w:val="32"/>
          <w:szCs w:val="32"/>
        </w:rPr>
        <w:t>2022</w:t>
      </w:r>
      <w:r>
        <w:rPr>
          <w:rFonts w:ascii="Times New Roman" w:eastAsia="仿宋_GB2312" w:hAnsi="Times New Roman" w:hint="eastAsia"/>
          <w:sz w:val="32"/>
          <w:szCs w:val="32"/>
        </w:rPr>
        <w:t>年度使用了上年结转的公务用车运行维护经费。</w:t>
      </w:r>
    </w:p>
    <w:p w:rsidR="003C3164" w:rsidRDefault="00526EF3">
      <w:pPr>
        <w:pStyle w:val="Default"/>
        <w:spacing w:line="600" w:lineRule="exact"/>
        <w:ind w:firstLineChars="200" w:firstLine="643"/>
        <w:rPr>
          <w:rFonts w:ascii="楷体" w:eastAsia="楷体" w:hAnsi="楷体" w:cs="楷体"/>
          <w:b/>
          <w:sz w:val="32"/>
          <w:szCs w:val="32"/>
        </w:rPr>
      </w:pPr>
      <w:r>
        <w:rPr>
          <w:rFonts w:ascii="楷体" w:eastAsia="楷体" w:hAnsi="楷体" w:cs="楷体" w:hint="eastAsia"/>
          <w:b/>
          <w:sz w:val="32"/>
          <w:szCs w:val="32"/>
        </w:rPr>
        <w:t>（二）“三公”经费财政拨款支出决算具体情况说明</w:t>
      </w:r>
    </w:p>
    <w:p w:rsidR="003C3164" w:rsidRDefault="00526EF3">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w:t>
      </w:r>
      <w:r>
        <w:rPr>
          <w:rFonts w:ascii="Times New Roman" w:eastAsia="仿宋_GB2312" w:hAnsi="Times New Roman" w:hint="eastAsia"/>
          <w:sz w:val="32"/>
          <w:szCs w:val="32"/>
        </w:rPr>
        <w:t>2</w:t>
      </w:r>
      <w:r>
        <w:rPr>
          <w:rFonts w:ascii="Times New Roman" w:eastAsia="仿宋_GB2312" w:hAnsi="Times New Roman" w:hint="eastAsia"/>
          <w:sz w:val="32"/>
          <w:szCs w:val="32"/>
        </w:rPr>
        <w:t>年度“三公”经费财政拨款支出决算中，公务接待费支出决算</w:t>
      </w:r>
      <w:r>
        <w:rPr>
          <w:rFonts w:ascii="Times New Roman" w:eastAsia="仿宋_GB2312" w:hAnsi="Times New Roman" w:hint="eastAsia"/>
          <w:sz w:val="32"/>
          <w:szCs w:val="32"/>
        </w:rPr>
        <w:t xml:space="preserve">5.41 </w:t>
      </w:r>
      <w:r>
        <w:rPr>
          <w:rFonts w:ascii="Times New Roman" w:eastAsia="仿宋_GB2312" w:hAnsi="Times New Roman" w:hint="eastAsia"/>
          <w:sz w:val="32"/>
          <w:szCs w:val="32"/>
        </w:rPr>
        <w:t>万元，占</w:t>
      </w:r>
      <w:r>
        <w:rPr>
          <w:rFonts w:ascii="Times New Roman" w:eastAsia="仿宋_GB2312" w:hAnsi="Times New Roman" w:hint="eastAsia"/>
          <w:sz w:val="32"/>
          <w:szCs w:val="32"/>
        </w:rPr>
        <w:t>26.57%,</w:t>
      </w:r>
      <w:r>
        <w:rPr>
          <w:rFonts w:ascii="Times New Roman" w:eastAsia="仿宋_GB2312" w:hAnsi="Times New Roman" w:hint="eastAsia"/>
          <w:sz w:val="32"/>
          <w:szCs w:val="32"/>
        </w:rPr>
        <w:t>因公出国（境）费支出决算</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公务用车购置费</w:t>
      </w:r>
      <w:r>
        <w:rPr>
          <w:rFonts w:ascii="Times New Roman" w:eastAsia="仿宋_GB2312" w:hAnsi="Times New Roman" w:hint="eastAsia"/>
          <w:sz w:val="32"/>
          <w:szCs w:val="32"/>
        </w:rPr>
        <w:lastRenderedPageBreak/>
        <w:t>及运行维护费支出决算</w:t>
      </w:r>
      <w:r>
        <w:rPr>
          <w:rFonts w:ascii="Times New Roman" w:eastAsia="仿宋_GB2312" w:hAnsi="Times New Roman" w:hint="eastAsia"/>
          <w:sz w:val="32"/>
          <w:szCs w:val="32"/>
        </w:rPr>
        <w:t xml:space="preserve">14.95 </w:t>
      </w:r>
      <w:r>
        <w:rPr>
          <w:rFonts w:ascii="Times New Roman" w:eastAsia="仿宋_GB2312" w:hAnsi="Times New Roman" w:hint="eastAsia"/>
          <w:sz w:val="32"/>
          <w:szCs w:val="32"/>
        </w:rPr>
        <w:t>万元，占</w:t>
      </w:r>
      <w:r>
        <w:rPr>
          <w:rFonts w:ascii="Times New Roman" w:eastAsia="仿宋_GB2312" w:hAnsi="Times New Roman" w:hint="eastAsia"/>
          <w:sz w:val="32"/>
          <w:szCs w:val="32"/>
        </w:rPr>
        <w:t>73.43%</w:t>
      </w:r>
      <w:r>
        <w:rPr>
          <w:rFonts w:ascii="Times New Roman" w:eastAsia="仿宋_GB2312" w:hAnsi="Times New Roman" w:hint="eastAsia"/>
          <w:sz w:val="32"/>
          <w:szCs w:val="32"/>
        </w:rPr>
        <w:t>。其中：</w:t>
      </w:r>
    </w:p>
    <w:p w:rsidR="003C3164" w:rsidRDefault="00526EF3">
      <w:pPr>
        <w:pStyle w:val="Default"/>
        <w:spacing w:line="600" w:lineRule="exact"/>
        <w:ind w:firstLineChars="200" w:firstLine="640"/>
        <w:rPr>
          <w:rFonts w:ascii="Times New Roman" w:eastAsia="仿宋_GB2312" w:hAnsi="Times New Roman"/>
          <w:b/>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w:t>
      </w:r>
      <w:r>
        <w:rPr>
          <w:rFonts w:ascii="Times New Roman" w:eastAsia="仿宋_GB2312" w:hAnsi="Times New Roman" w:hint="eastAsia"/>
          <w:sz w:val="32"/>
          <w:szCs w:val="32"/>
        </w:rPr>
        <w:t>因公出国（境）费支出决算为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万元，全年安排因公出国（境）团组</w:t>
      </w:r>
      <w:r>
        <w:rPr>
          <w:rFonts w:ascii="Times New Roman" w:eastAsia="仿宋_GB2312" w:hAnsi="Times New Roman" w:hint="eastAsia"/>
          <w:sz w:val="32"/>
          <w:szCs w:val="32"/>
        </w:rPr>
        <w:t>0</w:t>
      </w:r>
      <w:r>
        <w:rPr>
          <w:rFonts w:ascii="Times New Roman" w:eastAsia="仿宋_GB2312" w:hAnsi="Times New Roman" w:hint="eastAsia"/>
          <w:sz w:val="32"/>
          <w:szCs w:val="32"/>
        </w:rPr>
        <w:t>个，累计</w:t>
      </w:r>
      <w:r>
        <w:rPr>
          <w:rFonts w:ascii="Times New Roman" w:eastAsia="仿宋_GB2312" w:hAnsi="Times New Roman" w:hint="eastAsia"/>
          <w:sz w:val="32"/>
          <w:szCs w:val="32"/>
        </w:rPr>
        <w:t>0</w:t>
      </w:r>
      <w:r>
        <w:rPr>
          <w:rFonts w:ascii="Times New Roman" w:eastAsia="仿宋_GB2312" w:hAnsi="Times New Roman" w:hint="eastAsia"/>
          <w:sz w:val="32"/>
          <w:szCs w:val="32"/>
        </w:rPr>
        <w:t>人次</w:t>
      </w:r>
      <w:r>
        <w:rPr>
          <w:rFonts w:ascii="Times New Roman" w:eastAsia="仿宋_GB2312" w:hAnsi="Times New Roman" w:hint="eastAsia"/>
          <w:b/>
          <w:bCs/>
          <w:color w:val="auto"/>
          <w:sz w:val="32"/>
          <w:szCs w:val="32"/>
        </w:rPr>
        <w:t>，</w:t>
      </w:r>
      <w:r>
        <w:rPr>
          <w:rFonts w:ascii="Times New Roman" w:eastAsia="仿宋_GB2312" w:hAnsi="Times New Roman" w:cstheme="minorBidi" w:hint="eastAsia"/>
          <w:color w:val="auto"/>
          <w:kern w:val="2"/>
          <w:sz w:val="32"/>
          <w:szCs w:val="32"/>
        </w:rPr>
        <w:t>2022</w:t>
      </w:r>
      <w:r>
        <w:rPr>
          <w:rFonts w:ascii="Times New Roman" w:eastAsia="仿宋_GB2312" w:hAnsi="Times New Roman" w:cstheme="minorBidi" w:hint="eastAsia"/>
          <w:color w:val="auto"/>
          <w:kern w:val="2"/>
          <w:sz w:val="32"/>
          <w:szCs w:val="32"/>
        </w:rPr>
        <w:t>年度我单位未开展因公出国（境）活动</w:t>
      </w:r>
      <w:r>
        <w:rPr>
          <w:rFonts w:ascii="仿宋_GB2312" w:eastAsia="仿宋_GB2312" w:hAnsi="仿宋_GB2312" w:cs="仿宋_GB2312" w:hint="eastAsia"/>
          <w:color w:val="auto"/>
          <w:sz w:val="32"/>
          <w:szCs w:val="32"/>
        </w:rPr>
        <w:t>。</w:t>
      </w:r>
    </w:p>
    <w:p w:rsidR="003C3164" w:rsidRDefault="00526EF3">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、公务接待费支出决算为</w:t>
      </w:r>
      <w:r>
        <w:rPr>
          <w:rFonts w:ascii="Times New Roman" w:eastAsia="仿宋_GB2312" w:hAnsi="Times New Roman" w:hint="eastAsia"/>
          <w:sz w:val="32"/>
          <w:szCs w:val="32"/>
        </w:rPr>
        <w:t>5.41</w:t>
      </w:r>
      <w:r>
        <w:rPr>
          <w:rFonts w:ascii="Times New Roman" w:eastAsia="仿宋_GB2312" w:hAnsi="Times New Roman" w:hint="eastAsia"/>
          <w:sz w:val="32"/>
          <w:szCs w:val="32"/>
        </w:rPr>
        <w:t>万元，全年共接待来访团组</w:t>
      </w:r>
      <w:r>
        <w:rPr>
          <w:rFonts w:ascii="Times New Roman" w:eastAsia="仿宋_GB2312" w:hAnsi="Times New Roman" w:hint="eastAsia"/>
          <w:sz w:val="32"/>
          <w:szCs w:val="32"/>
        </w:rPr>
        <w:t>32</w:t>
      </w:r>
      <w:r>
        <w:rPr>
          <w:rFonts w:ascii="Times New Roman" w:eastAsia="仿宋_GB2312" w:hAnsi="Times New Roman" w:hint="eastAsia"/>
          <w:sz w:val="32"/>
          <w:szCs w:val="32"/>
        </w:rPr>
        <w:t>个、来宾</w:t>
      </w:r>
      <w:r>
        <w:rPr>
          <w:rFonts w:ascii="Times New Roman" w:eastAsia="仿宋_GB2312" w:hAnsi="Times New Roman" w:hint="eastAsia"/>
          <w:sz w:val="32"/>
          <w:szCs w:val="32"/>
        </w:rPr>
        <w:t>392</w:t>
      </w:r>
      <w:r>
        <w:rPr>
          <w:rFonts w:ascii="Times New Roman" w:eastAsia="仿宋_GB2312" w:hAnsi="Times New Roman" w:hint="eastAsia"/>
          <w:sz w:val="32"/>
          <w:szCs w:val="32"/>
        </w:rPr>
        <w:t>人次，主要是</w:t>
      </w:r>
      <w:r>
        <w:rPr>
          <w:rFonts w:ascii="Times New Roman" w:eastAsia="仿宋_GB2312" w:hAnsi="Times New Roman" w:hint="eastAsia"/>
          <w:sz w:val="32"/>
          <w:szCs w:val="32"/>
        </w:rPr>
        <w:t>学院办学质量及知名度提高，兄弟院校前来考察交流的比较多，以及前来洽谈校企合作的单位增多所</w:t>
      </w:r>
      <w:r>
        <w:rPr>
          <w:rFonts w:ascii="Times New Roman" w:eastAsia="仿宋_GB2312" w:hAnsi="Times New Roman" w:hint="eastAsia"/>
          <w:sz w:val="32"/>
          <w:szCs w:val="32"/>
        </w:rPr>
        <w:t>发生的接待支出。</w:t>
      </w:r>
    </w:p>
    <w:p w:rsidR="003C3164" w:rsidRDefault="00526EF3">
      <w:pPr>
        <w:spacing w:line="600" w:lineRule="exact"/>
        <w:ind w:firstLineChars="250" w:firstLine="800"/>
        <w:rPr>
          <w:rFonts w:ascii="楷体" w:eastAsia="楷体" w:hAnsi="楷体" w:cs="楷体"/>
          <w:b/>
          <w:bCs/>
          <w:i/>
          <w:kern w:val="0"/>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、公务用车购置费及运行维护费支出决算为</w:t>
      </w:r>
      <w:r>
        <w:rPr>
          <w:rFonts w:ascii="Times New Roman" w:eastAsia="仿宋_GB2312" w:hAnsi="Times New Roman" w:hint="eastAsia"/>
          <w:sz w:val="32"/>
          <w:szCs w:val="32"/>
        </w:rPr>
        <w:t>14.95</w:t>
      </w:r>
      <w:r>
        <w:rPr>
          <w:rFonts w:ascii="Times New Roman" w:eastAsia="仿宋_GB2312" w:hAnsi="Times New Roman" w:hint="eastAsia"/>
          <w:sz w:val="32"/>
          <w:szCs w:val="32"/>
        </w:rPr>
        <w:t>万元，其中：公务用车购置费</w:t>
      </w:r>
      <w:r>
        <w:rPr>
          <w:rFonts w:ascii="Times New Roman" w:eastAsia="仿宋_GB2312" w:hAnsi="Times New Roman" w:hint="eastAsia"/>
          <w:sz w:val="32"/>
          <w:szCs w:val="32"/>
        </w:rPr>
        <w:t>0</w:t>
      </w:r>
      <w:r>
        <w:rPr>
          <w:rFonts w:ascii="Times New Roman" w:eastAsia="仿宋_GB2312" w:hAnsi="Times New Roman" w:hint="eastAsia"/>
          <w:sz w:val="32"/>
          <w:szCs w:val="32"/>
        </w:rPr>
        <w:t>万元，</w:t>
      </w:r>
      <w:r>
        <w:rPr>
          <w:rFonts w:ascii="Times New Roman" w:eastAsia="仿宋_GB2312" w:hAnsi="Times New Roman" w:hint="eastAsia"/>
          <w:sz w:val="32"/>
          <w:szCs w:val="32"/>
        </w:rPr>
        <w:t>本单位无更新公务用车。</w:t>
      </w:r>
      <w:r>
        <w:rPr>
          <w:rFonts w:ascii="Times New Roman" w:eastAsia="仿宋_GB2312" w:hAnsi="Times New Roman" w:hint="eastAsia"/>
          <w:sz w:val="32"/>
          <w:szCs w:val="32"/>
        </w:rPr>
        <w:t>公务用车运行维护费</w:t>
      </w:r>
      <w:r>
        <w:rPr>
          <w:rFonts w:ascii="Times New Roman" w:eastAsia="仿宋_GB2312" w:hAnsi="Times New Roman" w:hint="eastAsia"/>
          <w:sz w:val="32"/>
          <w:szCs w:val="32"/>
        </w:rPr>
        <w:t xml:space="preserve">14.95 </w:t>
      </w:r>
      <w:r>
        <w:rPr>
          <w:rFonts w:ascii="Times New Roman" w:eastAsia="仿宋_GB2312" w:hAnsi="Times New Roman" w:hint="eastAsia"/>
          <w:sz w:val="32"/>
          <w:szCs w:val="32"/>
        </w:rPr>
        <w:t>万元，主要是公务用车维修费、燃油费和保险费支出，截止</w:t>
      </w:r>
      <w:r>
        <w:rPr>
          <w:rFonts w:ascii="Times New Roman" w:eastAsia="仿宋_GB2312" w:hAnsi="Times New Roman" w:hint="eastAsia"/>
          <w:sz w:val="32"/>
          <w:szCs w:val="32"/>
        </w:rPr>
        <w:t>202</w:t>
      </w:r>
      <w:r>
        <w:rPr>
          <w:rFonts w:ascii="Times New Roman" w:eastAsia="仿宋_GB2312" w:hAnsi="Times New Roman" w:hint="eastAsia"/>
          <w:sz w:val="32"/>
          <w:szCs w:val="32"/>
        </w:rPr>
        <w:t>2</w:t>
      </w:r>
      <w:r>
        <w:rPr>
          <w:rFonts w:ascii="Times New Roman" w:eastAsia="仿宋_GB2312" w:hAnsi="Times New Roman" w:hint="eastAsia"/>
          <w:sz w:val="32"/>
          <w:szCs w:val="32"/>
        </w:rPr>
        <w:t>年</w:t>
      </w:r>
      <w:r>
        <w:rPr>
          <w:rFonts w:ascii="Times New Roman" w:eastAsia="仿宋_GB2312" w:hAnsi="Times New Roman" w:hint="eastAsia"/>
          <w:sz w:val="32"/>
          <w:szCs w:val="32"/>
        </w:rPr>
        <w:t>12</w:t>
      </w:r>
      <w:r>
        <w:rPr>
          <w:rFonts w:ascii="Times New Roman" w:eastAsia="仿宋_GB2312" w:hAnsi="Times New Roman" w:hint="eastAsia"/>
          <w:sz w:val="32"/>
          <w:szCs w:val="32"/>
        </w:rPr>
        <w:t>月</w:t>
      </w:r>
      <w:r>
        <w:rPr>
          <w:rFonts w:ascii="Times New Roman" w:eastAsia="仿宋_GB2312" w:hAnsi="Times New Roman" w:hint="eastAsia"/>
          <w:sz w:val="32"/>
          <w:szCs w:val="32"/>
        </w:rPr>
        <w:t>31</w:t>
      </w:r>
      <w:r>
        <w:rPr>
          <w:rFonts w:ascii="Times New Roman" w:eastAsia="仿宋_GB2312" w:hAnsi="Times New Roman" w:hint="eastAsia"/>
          <w:sz w:val="32"/>
          <w:szCs w:val="32"/>
        </w:rPr>
        <w:t>日，我单位开支财政拨款的公务用车保有量为</w:t>
      </w:r>
      <w:r>
        <w:rPr>
          <w:rFonts w:ascii="Times New Roman" w:eastAsia="仿宋_GB2312" w:hAnsi="Times New Roman" w:hint="eastAsia"/>
          <w:sz w:val="32"/>
          <w:szCs w:val="32"/>
        </w:rPr>
        <w:t>4</w:t>
      </w:r>
      <w:r>
        <w:rPr>
          <w:rFonts w:ascii="Times New Roman" w:eastAsia="仿宋_GB2312" w:hAnsi="Times New Roman" w:hint="eastAsia"/>
          <w:sz w:val="32"/>
          <w:szCs w:val="32"/>
        </w:rPr>
        <w:t>辆。</w:t>
      </w:r>
    </w:p>
    <w:p w:rsidR="003C3164" w:rsidRDefault="00526EF3">
      <w:pPr>
        <w:pStyle w:val="Default"/>
        <w:spacing w:line="600" w:lineRule="exact"/>
        <w:ind w:firstLineChars="200" w:firstLine="640"/>
        <w:rPr>
          <w:rFonts w:hAnsi="黑体"/>
          <w:bCs/>
          <w:sz w:val="32"/>
          <w:szCs w:val="32"/>
        </w:rPr>
      </w:pPr>
      <w:r>
        <w:rPr>
          <w:rFonts w:hAnsi="黑体" w:hint="eastAsia"/>
          <w:bCs/>
          <w:sz w:val="32"/>
          <w:szCs w:val="32"/>
        </w:rPr>
        <w:t>八、政府性基金预算</w:t>
      </w:r>
      <w:r>
        <w:rPr>
          <w:rFonts w:hAnsi="黑体" w:hint="eastAsia"/>
          <w:bCs/>
          <w:sz w:val="32"/>
          <w:szCs w:val="32"/>
        </w:rPr>
        <w:t>收入支出决算情况</w:t>
      </w:r>
    </w:p>
    <w:p w:rsidR="003C3164" w:rsidRDefault="00526EF3">
      <w:pPr>
        <w:pStyle w:val="Default"/>
        <w:spacing w:line="600" w:lineRule="exact"/>
        <w:rPr>
          <w:rFonts w:ascii="楷体" w:eastAsia="楷体" w:hAnsi="楷体" w:cs="楷体"/>
          <w:b/>
          <w:bCs/>
          <w:i/>
          <w:color w:val="auto"/>
          <w:sz w:val="32"/>
          <w:szCs w:val="32"/>
        </w:rPr>
      </w:pPr>
      <w:r>
        <w:rPr>
          <w:rFonts w:ascii="Times New Roman" w:eastAsia="仿宋_GB2312" w:hAnsi="Times New Roman" w:hint="eastAsia"/>
          <w:sz w:val="32"/>
          <w:szCs w:val="32"/>
        </w:rPr>
        <w:t xml:space="preserve">    2022</w:t>
      </w:r>
      <w:r>
        <w:rPr>
          <w:rFonts w:ascii="Times New Roman" w:eastAsia="仿宋_GB2312" w:hAnsi="Times New Roman" w:hint="eastAsia"/>
          <w:sz w:val="32"/>
          <w:szCs w:val="32"/>
        </w:rPr>
        <w:t>年度本单位无政府性基金收支。</w:t>
      </w:r>
    </w:p>
    <w:p w:rsidR="003C3164" w:rsidRDefault="00526EF3">
      <w:pPr>
        <w:pStyle w:val="Default"/>
        <w:spacing w:line="600" w:lineRule="exact"/>
        <w:ind w:firstLineChars="200" w:firstLine="640"/>
        <w:rPr>
          <w:rFonts w:ascii="Times New Roman" w:eastAsia="仿宋_GB2312" w:hAnsi="Times New Roman"/>
          <w:bCs/>
          <w:color w:val="FF0000"/>
          <w:sz w:val="32"/>
          <w:szCs w:val="32"/>
        </w:rPr>
      </w:pPr>
      <w:r>
        <w:rPr>
          <w:rFonts w:hAnsi="黑体" w:hint="eastAsia"/>
          <w:bCs/>
          <w:sz w:val="32"/>
          <w:szCs w:val="32"/>
        </w:rPr>
        <w:t>九、关于机关运行经费支出说明</w:t>
      </w:r>
    </w:p>
    <w:p w:rsidR="003C3164" w:rsidRDefault="00526EF3">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本单位属于公益二类事业单位，不属于行政单位和参照公务员法管理事业单位，无机关运行经费。</w:t>
      </w:r>
      <w:r>
        <w:rPr>
          <w:rFonts w:ascii="Times New Roman" w:eastAsia="仿宋_GB2312" w:hAnsi="Times New Roman" w:hint="eastAsia"/>
          <w:sz w:val="32"/>
          <w:szCs w:val="32"/>
        </w:rPr>
        <w:t xml:space="preserve">     </w:t>
      </w:r>
    </w:p>
    <w:p w:rsidR="003C3164" w:rsidRDefault="00526EF3">
      <w:pPr>
        <w:pStyle w:val="Default"/>
        <w:spacing w:line="600" w:lineRule="exact"/>
        <w:ind w:firstLineChars="200" w:firstLine="640"/>
        <w:rPr>
          <w:rFonts w:hAnsi="黑体"/>
          <w:bCs/>
          <w:sz w:val="32"/>
          <w:szCs w:val="32"/>
        </w:rPr>
      </w:pPr>
      <w:r>
        <w:rPr>
          <w:rFonts w:hAnsi="黑体" w:hint="eastAsia"/>
          <w:bCs/>
          <w:sz w:val="32"/>
          <w:szCs w:val="32"/>
        </w:rPr>
        <w:t>十、一般性支出情况说明</w:t>
      </w:r>
    </w:p>
    <w:p w:rsidR="003C3164" w:rsidRDefault="00526EF3">
      <w:pPr>
        <w:pStyle w:val="Default"/>
        <w:spacing w:line="600" w:lineRule="exact"/>
        <w:ind w:firstLineChars="200" w:firstLine="640"/>
        <w:rPr>
          <w:rFonts w:ascii="Times New Roman" w:eastAsia="仿宋_GB2312" w:hAnsi="Times New Roman"/>
          <w:b/>
          <w:bCs/>
          <w:color w:val="FF0000"/>
          <w:sz w:val="32"/>
          <w:szCs w:val="32"/>
        </w:rPr>
      </w:pPr>
      <w:r>
        <w:rPr>
          <w:rFonts w:ascii="Times New Roman" w:eastAsia="仿宋_GB2312" w:hAnsi="Times New Roman" w:hint="eastAsia"/>
          <w:sz w:val="32"/>
          <w:szCs w:val="32"/>
        </w:rPr>
        <w:t>202</w:t>
      </w:r>
      <w:r>
        <w:rPr>
          <w:rFonts w:ascii="Times New Roman" w:eastAsia="仿宋_GB2312" w:hAnsi="Times New Roman" w:hint="eastAsia"/>
          <w:sz w:val="32"/>
          <w:szCs w:val="32"/>
        </w:rPr>
        <w:t>2</w:t>
      </w:r>
      <w:r>
        <w:rPr>
          <w:rFonts w:ascii="Times New Roman" w:eastAsia="仿宋_GB2312" w:hAnsi="Times New Roman" w:hint="eastAsia"/>
          <w:sz w:val="32"/>
          <w:szCs w:val="32"/>
        </w:rPr>
        <w:t>年本部门开支会议费</w:t>
      </w:r>
      <w:r>
        <w:rPr>
          <w:rFonts w:ascii="Times New Roman" w:eastAsia="仿宋_GB2312" w:hAnsi="Times New Roman" w:hint="eastAsia"/>
          <w:sz w:val="32"/>
          <w:szCs w:val="32"/>
        </w:rPr>
        <w:t>0</w:t>
      </w:r>
      <w:r>
        <w:rPr>
          <w:rFonts w:ascii="Times New Roman" w:eastAsia="仿宋_GB2312" w:hAnsi="Times New Roman" w:hint="eastAsia"/>
          <w:sz w:val="32"/>
          <w:szCs w:val="32"/>
        </w:rPr>
        <w:t>万元，开支培训费</w:t>
      </w:r>
      <w:r>
        <w:rPr>
          <w:rFonts w:ascii="Times New Roman" w:eastAsia="仿宋_GB2312" w:hAnsi="Times New Roman" w:hint="eastAsia"/>
          <w:sz w:val="32"/>
          <w:szCs w:val="32"/>
        </w:rPr>
        <w:t>0</w:t>
      </w:r>
      <w:r>
        <w:rPr>
          <w:rFonts w:ascii="Times New Roman" w:eastAsia="仿宋_GB2312" w:hAnsi="Times New Roman" w:hint="eastAsia"/>
          <w:sz w:val="32"/>
          <w:szCs w:val="32"/>
        </w:rPr>
        <w:t>万元，未举办节庆、晚会、论坛、赛事等活动。</w:t>
      </w:r>
    </w:p>
    <w:p w:rsidR="003C3164" w:rsidRDefault="00526EF3">
      <w:pPr>
        <w:pStyle w:val="Default"/>
        <w:spacing w:line="600" w:lineRule="exact"/>
        <w:ind w:firstLineChars="200" w:firstLine="640"/>
        <w:rPr>
          <w:rFonts w:hAnsi="黑体"/>
          <w:bCs/>
          <w:sz w:val="32"/>
          <w:szCs w:val="32"/>
        </w:rPr>
      </w:pPr>
      <w:r>
        <w:rPr>
          <w:rFonts w:hAnsi="黑体" w:hint="eastAsia"/>
          <w:bCs/>
          <w:sz w:val="32"/>
          <w:szCs w:val="32"/>
        </w:rPr>
        <w:t>十一、关于政府采购支出说明</w:t>
      </w:r>
    </w:p>
    <w:p w:rsidR="003C3164" w:rsidRDefault="00526EF3">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本部门</w:t>
      </w:r>
      <w:r>
        <w:rPr>
          <w:rFonts w:ascii="Times New Roman" w:eastAsia="仿宋_GB2312" w:hAnsi="Times New Roman" w:hint="eastAsia"/>
          <w:sz w:val="32"/>
          <w:szCs w:val="32"/>
        </w:rPr>
        <w:t>202</w:t>
      </w:r>
      <w:r>
        <w:rPr>
          <w:rFonts w:ascii="Times New Roman" w:eastAsia="仿宋_GB2312" w:hAnsi="Times New Roman" w:hint="eastAsia"/>
          <w:sz w:val="32"/>
          <w:szCs w:val="32"/>
        </w:rPr>
        <w:t>2</w:t>
      </w:r>
      <w:r>
        <w:rPr>
          <w:rFonts w:ascii="Times New Roman" w:eastAsia="仿宋_GB2312" w:hAnsi="Times New Roman" w:hint="eastAsia"/>
          <w:sz w:val="32"/>
          <w:szCs w:val="32"/>
        </w:rPr>
        <w:t>年度政府采购支出总额</w:t>
      </w:r>
      <w:r>
        <w:rPr>
          <w:rFonts w:ascii="Times New Roman" w:eastAsia="仿宋_GB2312" w:hAnsi="Times New Roman" w:hint="eastAsia"/>
          <w:sz w:val="32"/>
          <w:szCs w:val="32"/>
        </w:rPr>
        <w:t>1098.56</w:t>
      </w:r>
      <w:r>
        <w:rPr>
          <w:rFonts w:ascii="Times New Roman" w:eastAsia="仿宋_GB2312" w:hAnsi="Times New Roman" w:hint="eastAsia"/>
          <w:sz w:val="32"/>
          <w:szCs w:val="32"/>
        </w:rPr>
        <w:t>万元，其中：政府采购货物支出</w:t>
      </w:r>
      <w:r>
        <w:rPr>
          <w:rFonts w:ascii="Times New Roman" w:eastAsia="仿宋_GB2312" w:hAnsi="Times New Roman" w:hint="eastAsia"/>
          <w:sz w:val="32"/>
          <w:szCs w:val="32"/>
        </w:rPr>
        <w:t>943.92</w:t>
      </w:r>
      <w:r>
        <w:rPr>
          <w:rFonts w:ascii="Times New Roman" w:eastAsia="仿宋_GB2312" w:hAnsi="Times New Roman" w:hint="eastAsia"/>
          <w:sz w:val="32"/>
          <w:szCs w:val="32"/>
        </w:rPr>
        <w:t>万元、政府采购工程支出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万元、政府采购服务支出</w:t>
      </w:r>
      <w:r>
        <w:rPr>
          <w:rFonts w:ascii="Times New Roman" w:eastAsia="仿宋_GB2312" w:hAnsi="Times New Roman" w:hint="eastAsia"/>
          <w:sz w:val="32"/>
          <w:szCs w:val="32"/>
        </w:rPr>
        <w:t>154.64</w:t>
      </w:r>
      <w:r>
        <w:rPr>
          <w:rFonts w:ascii="Times New Roman" w:eastAsia="仿宋_GB2312" w:hAnsi="Times New Roman" w:hint="eastAsia"/>
          <w:sz w:val="32"/>
          <w:szCs w:val="32"/>
        </w:rPr>
        <w:t>万元。授予中小企业合同金额</w:t>
      </w:r>
      <w:r>
        <w:rPr>
          <w:rFonts w:ascii="Times New Roman" w:eastAsia="仿宋_GB2312" w:hAnsi="Times New Roman" w:hint="eastAsia"/>
          <w:sz w:val="32"/>
          <w:szCs w:val="32"/>
        </w:rPr>
        <w:t>1098.56</w:t>
      </w:r>
      <w:r>
        <w:rPr>
          <w:rFonts w:ascii="Times New Roman" w:eastAsia="仿宋_GB2312" w:hAnsi="Times New Roman" w:hint="eastAsia"/>
          <w:sz w:val="32"/>
          <w:szCs w:val="32"/>
        </w:rPr>
        <w:t>万元，占政府采购支出总额的</w:t>
      </w:r>
      <w:r>
        <w:rPr>
          <w:rFonts w:ascii="Times New Roman" w:eastAsia="仿宋_GB2312" w:hAnsi="Times New Roman" w:hint="eastAsia"/>
          <w:sz w:val="32"/>
          <w:szCs w:val="32"/>
        </w:rPr>
        <w:t>100</w:t>
      </w:r>
      <w:r>
        <w:rPr>
          <w:rFonts w:ascii="Times New Roman" w:eastAsia="仿宋_GB2312" w:hAnsi="Times New Roman" w:hint="eastAsia"/>
          <w:sz w:val="32"/>
          <w:szCs w:val="32"/>
        </w:rPr>
        <w:t>%</w:t>
      </w:r>
      <w:r>
        <w:rPr>
          <w:rFonts w:ascii="Times New Roman" w:eastAsia="仿宋_GB2312" w:hAnsi="Times New Roman" w:hint="eastAsia"/>
          <w:sz w:val="32"/>
          <w:szCs w:val="32"/>
        </w:rPr>
        <w:t>，其中：授予小微企业合同金额</w:t>
      </w:r>
      <w:r>
        <w:rPr>
          <w:rFonts w:ascii="Times New Roman" w:eastAsia="仿宋_GB2312" w:hAnsi="Times New Roman" w:hint="eastAsia"/>
          <w:sz w:val="32"/>
          <w:szCs w:val="32"/>
        </w:rPr>
        <w:t>1098.56</w:t>
      </w:r>
      <w:r>
        <w:rPr>
          <w:rFonts w:ascii="Times New Roman" w:eastAsia="仿宋_GB2312" w:hAnsi="Times New Roman" w:hint="eastAsia"/>
          <w:sz w:val="32"/>
          <w:szCs w:val="32"/>
        </w:rPr>
        <w:t>万元，占政府采购支出总额的</w:t>
      </w:r>
      <w:r>
        <w:rPr>
          <w:rFonts w:ascii="Times New Roman" w:eastAsia="仿宋_GB2312" w:hAnsi="Times New Roman" w:hint="eastAsia"/>
          <w:sz w:val="32"/>
          <w:szCs w:val="32"/>
        </w:rPr>
        <w:t>100</w:t>
      </w:r>
      <w:r>
        <w:rPr>
          <w:rFonts w:ascii="Times New Roman" w:eastAsia="仿宋_GB2312" w:hAnsi="Times New Roman" w:hint="eastAsia"/>
          <w:sz w:val="32"/>
          <w:szCs w:val="32"/>
        </w:rPr>
        <w:t>%</w:t>
      </w:r>
      <w:r>
        <w:rPr>
          <w:rFonts w:ascii="Times New Roman" w:eastAsia="仿宋_GB2312" w:hAnsi="Times New Roman" w:hint="eastAsia"/>
          <w:sz w:val="32"/>
          <w:szCs w:val="32"/>
        </w:rPr>
        <w:t>。货物采购授予中小企业合同金额占货物支出金额的</w:t>
      </w:r>
      <w:r>
        <w:rPr>
          <w:rFonts w:ascii="Times New Roman" w:eastAsia="仿宋_GB2312" w:hAnsi="Times New Roman" w:hint="eastAsia"/>
          <w:sz w:val="32"/>
          <w:szCs w:val="32"/>
        </w:rPr>
        <w:t>100</w:t>
      </w:r>
      <w:r>
        <w:rPr>
          <w:rFonts w:ascii="Times New Roman" w:eastAsia="仿宋_GB2312" w:hAnsi="Times New Roman" w:hint="eastAsia"/>
          <w:sz w:val="32"/>
          <w:szCs w:val="32"/>
        </w:rPr>
        <w:t>%</w:t>
      </w:r>
      <w:r>
        <w:rPr>
          <w:rFonts w:ascii="Times New Roman" w:eastAsia="仿宋_GB2312" w:hAnsi="Times New Roman" w:hint="eastAsia"/>
          <w:sz w:val="32"/>
          <w:szCs w:val="32"/>
        </w:rPr>
        <w:t>，工程采购授予中小企业合同金额占工程支出金额的</w:t>
      </w:r>
      <w:r>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，服务采购授予中小企业合同金额占服务支</w:t>
      </w:r>
      <w:r>
        <w:rPr>
          <w:rFonts w:ascii="Times New Roman" w:eastAsia="仿宋_GB2312" w:hAnsi="Times New Roman" w:hint="eastAsia"/>
          <w:sz w:val="32"/>
          <w:szCs w:val="32"/>
        </w:rPr>
        <w:lastRenderedPageBreak/>
        <w:t>出金额的</w:t>
      </w:r>
      <w:r>
        <w:rPr>
          <w:rFonts w:ascii="Times New Roman" w:eastAsia="仿宋_GB2312" w:hAnsi="Times New Roman" w:hint="eastAsia"/>
          <w:sz w:val="32"/>
          <w:szCs w:val="32"/>
        </w:rPr>
        <w:t>100</w:t>
      </w:r>
      <w:r>
        <w:rPr>
          <w:rFonts w:ascii="Times New Roman" w:eastAsia="仿宋_GB2312" w:hAnsi="Times New Roman" w:hint="eastAsia"/>
          <w:sz w:val="32"/>
          <w:szCs w:val="32"/>
        </w:rPr>
        <w:t>%</w:t>
      </w:r>
      <w:r>
        <w:rPr>
          <w:rFonts w:ascii="Times New Roman" w:eastAsia="仿宋_GB2312" w:hAnsi="Times New Roman" w:hint="eastAsia"/>
          <w:sz w:val="32"/>
          <w:szCs w:val="32"/>
        </w:rPr>
        <w:t>。</w:t>
      </w:r>
      <w:r>
        <w:rPr>
          <w:rFonts w:ascii="Times New Roman" w:eastAsia="仿宋_GB2312" w:hAnsi="Times New Roman" w:hint="eastAsia"/>
          <w:sz w:val="32"/>
          <w:szCs w:val="32"/>
        </w:rPr>
        <w:t xml:space="preserve">  </w:t>
      </w:r>
    </w:p>
    <w:p w:rsidR="003C3164" w:rsidRDefault="00526EF3">
      <w:pPr>
        <w:pStyle w:val="Default"/>
        <w:spacing w:line="600" w:lineRule="exact"/>
        <w:ind w:firstLineChars="200" w:firstLine="640"/>
        <w:rPr>
          <w:rFonts w:hAnsi="黑体"/>
          <w:bCs/>
          <w:sz w:val="32"/>
          <w:szCs w:val="32"/>
        </w:rPr>
      </w:pPr>
      <w:r>
        <w:rPr>
          <w:rFonts w:hAnsi="黑体" w:hint="eastAsia"/>
          <w:bCs/>
          <w:sz w:val="32"/>
          <w:szCs w:val="32"/>
        </w:rPr>
        <w:t>十二、关于国有资产占用情况说明</w:t>
      </w:r>
    </w:p>
    <w:p w:rsidR="003C3164" w:rsidRDefault="00526EF3">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截至</w:t>
      </w:r>
      <w:r>
        <w:rPr>
          <w:rFonts w:ascii="Times New Roman" w:eastAsia="仿宋_GB2312" w:hAnsi="Times New Roman" w:hint="eastAsia"/>
          <w:sz w:val="32"/>
          <w:szCs w:val="32"/>
        </w:rPr>
        <w:t>202</w:t>
      </w:r>
      <w:r>
        <w:rPr>
          <w:rFonts w:ascii="Times New Roman" w:eastAsia="仿宋_GB2312" w:hAnsi="Times New Roman" w:hint="eastAsia"/>
          <w:sz w:val="32"/>
          <w:szCs w:val="32"/>
        </w:rPr>
        <w:t>2</w:t>
      </w:r>
      <w:r>
        <w:rPr>
          <w:rFonts w:ascii="Times New Roman" w:eastAsia="仿宋_GB2312" w:hAnsi="Times New Roman" w:hint="eastAsia"/>
          <w:sz w:val="32"/>
          <w:szCs w:val="32"/>
        </w:rPr>
        <w:t>年</w:t>
      </w:r>
      <w:r>
        <w:rPr>
          <w:rFonts w:ascii="Times New Roman" w:eastAsia="仿宋_GB2312" w:hAnsi="Times New Roman" w:hint="eastAsia"/>
          <w:sz w:val="32"/>
          <w:szCs w:val="32"/>
        </w:rPr>
        <w:t>12</w:t>
      </w:r>
      <w:r>
        <w:rPr>
          <w:rFonts w:ascii="Times New Roman" w:eastAsia="仿宋_GB2312" w:hAnsi="Times New Roman" w:hint="eastAsia"/>
          <w:sz w:val="32"/>
          <w:szCs w:val="32"/>
        </w:rPr>
        <w:t>月</w:t>
      </w:r>
      <w:r>
        <w:rPr>
          <w:rFonts w:ascii="Times New Roman" w:eastAsia="仿宋_GB2312" w:hAnsi="Times New Roman" w:hint="eastAsia"/>
          <w:sz w:val="32"/>
          <w:szCs w:val="32"/>
        </w:rPr>
        <w:t>31</w:t>
      </w:r>
      <w:r>
        <w:rPr>
          <w:rFonts w:ascii="Times New Roman" w:eastAsia="仿宋_GB2312" w:hAnsi="Times New Roman" w:hint="eastAsia"/>
          <w:sz w:val="32"/>
          <w:szCs w:val="32"/>
        </w:rPr>
        <w:t>日，本单位共有车辆</w:t>
      </w:r>
      <w:r>
        <w:rPr>
          <w:rFonts w:ascii="Times New Roman" w:eastAsia="仿宋_GB2312" w:hAnsi="Times New Roman" w:hint="eastAsia"/>
          <w:sz w:val="32"/>
          <w:szCs w:val="32"/>
        </w:rPr>
        <w:t>4</w:t>
      </w:r>
      <w:r>
        <w:rPr>
          <w:rFonts w:ascii="Times New Roman" w:eastAsia="仿宋_GB2312" w:hAnsi="Times New Roman" w:hint="eastAsia"/>
          <w:sz w:val="32"/>
          <w:szCs w:val="32"/>
        </w:rPr>
        <w:t>辆，其中，主要领导干部用车</w:t>
      </w:r>
      <w:r>
        <w:rPr>
          <w:rFonts w:ascii="Times New Roman" w:eastAsia="仿宋_GB2312" w:hAnsi="Times New Roman" w:hint="eastAsia"/>
          <w:sz w:val="32"/>
          <w:szCs w:val="32"/>
        </w:rPr>
        <w:t>2</w:t>
      </w:r>
      <w:r>
        <w:rPr>
          <w:rFonts w:ascii="Times New Roman" w:eastAsia="仿宋_GB2312" w:hAnsi="Times New Roman" w:hint="eastAsia"/>
          <w:sz w:val="32"/>
          <w:szCs w:val="32"/>
        </w:rPr>
        <w:t>辆，机要通信用车</w:t>
      </w:r>
      <w:r>
        <w:rPr>
          <w:rFonts w:ascii="Times New Roman" w:eastAsia="仿宋_GB2312" w:hAnsi="Times New Roman" w:hint="eastAsia"/>
          <w:sz w:val="32"/>
          <w:szCs w:val="32"/>
        </w:rPr>
        <w:t>0</w:t>
      </w:r>
      <w:r>
        <w:rPr>
          <w:rFonts w:ascii="Times New Roman" w:eastAsia="仿宋_GB2312" w:hAnsi="Times New Roman" w:hint="eastAsia"/>
          <w:sz w:val="32"/>
          <w:szCs w:val="32"/>
        </w:rPr>
        <w:t>辆、应急保障用车</w:t>
      </w:r>
      <w:r>
        <w:rPr>
          <w:rFonts w:ascii="Times New Roman" w:eastAsia="仿宋_GB2312" w:hAnsi="Times New Roman" w:hint="eastAsia"/>
          <w:sz w:val="32"/>
          <w:szCs w:val="32"/>
        </w:rPr>
        <w:t>0</w:t>
      </w:r>
      <w:r>
        <w:rPr>
          <w:rFonts w:ascii="Times New Roman" w:eastAsia="仿宋_GB2312" w:hAnsi="Times New Roman" w:hint="eastAsia"/>
          <w:sz w:val="32"/>
          <w:szCs w:val="32"/>
        </w:rPr>
        <w:t>辆、执法执勤用车</w:t>
      </w:r>
      <w:r>
        <w:rPr>
          <w:rFonts w:ascii="Times New Roman" w:eastAsia="仿宋_GB2312" w:hAnsi="Times New Roman" w:hint="eastAsia"/>
          <w:sz w:val="32"/>
          <w:szCs w:val="32"/>
        </w:rPr>
        <w:t>0</w:t>
      </w:r>
      <w:r>
        <w:rPr>
          <w:rFonts w:ascii="Times New Roman" w:eastAsia="仿宋_GB2312" w:hAnsi="Times New Roman" w:hint="eastAsia"/>
          <w:sz w:val="32"/>
          <w:szCs w:val="32"/>
        </w:rPr>
        <w:t>辆、特种专业技术用车</w:t>
      </w:r>
      <w:r>
        <w:rPr>
          <w:rFonts w:ascii="Times New Roman" w:eastAsia="仿宋_GB2312" w:hAnsi="Times New Roman" w:hint="eastAsia"/>
          <w:sz w:val="32"/>
          <w:szCs w:val="32"/>
        </w:rPr>
        <w:t>0</w:t>
      </w:r>
      <w:r>
        <w:rPr>
          <w:rFonts w:ascii="Times New Roman" w:eastAsia="仿宋_GB2312" w:hAnsi="Times New Roman" w:hint="eastAsia"/>
          <w:sz w:val="32"/>
          <w:szCs w:val="32"/>
        </w:rPr>
        <w:t>辆、其他用车</w:t>
      </w:r>
      <w:r>
        <w:rPr>
          <w:rFonts w:ascii="Times New Roman" w:eastAsia="仿宋_GB2312" w:hAnsi="Times New Roman" w:hint="eastAsia"/>
          <w:sz w:val="32"/>
          <w:szCs w:val="32"/>
        </w:rPr>
        <w:t>2</w:t>
      </w:r>
      <w:r>
        <w:rPr>
          <w:rFonts w:ascii="Times New Roman" w:eastAsia="仿宋_GB2312" w:hAnsi="Times New Roman" w:hint="eastAsia"/>
          <w:sz w:val="32"/>
          <w:szCs w:val="32"/>
        </w:rPr>
        <w:t>辆，其他用车主要</w:t>
      </w:r>
      <w:r>
        <w:rPr>
          <w:rFonts w:ascii="Times New Roman" w:eastAsia="仿宋_GB2312" w:hAnsi="Times New Roman" w:hint="eastAsia"/>
          <w:sz w:val="32"/>
          <w:szCs w:val="32"/>
        </w:rPr>
        <w:t>是</w:t>
      </w:r>
      <w:r>
        <w:rPr>
          <w:rFonts w:ascii="Times New Roman" w:eastAsia="仿宋_GB2312" w:hAnsi="Times New Roman" w:hint="eastAsia"/>
          <w:sz w:val="32"/>
          <w:szCs w:val="32"/>
        </w:rPr>
        <w:t>用于实训教学；单位价值</w:t>
      </w:r>
      <w:r>
        <w:rPr>
          <w:rFonts w:ascii="Times New Roman" w:eastAsia="仿宋_GB2312" w:hAnsi="Times New Roman" w:hint="eastAsia"/>
          <w:sz w:val="32"/>
          <w:szCs w:val="32"/>
        </w:rPr>
        <w:t>50</w:t>
      </w:r>
      <w:r>
        <w:rPr>
          <w:rFonts w:ascii="Times New Roman" w:eastAsia="仿宋_GB2312" w:hAnsi="Times New Roman" w:hint="eastAsia"/>
          <w:sz w:val="32"/>
          <w:szCs w:val="32"/>
        </w:rPr>
        <w:t>万元以上通用设备</w:t>
      </w:r>
      <w:r>
        <w:rPr>
          <w:rFonts w:ascii="Times New Roman" w:eastAsia="仿宋_GB2312" w:hAnsi="Times New Roman" w:hint="eastAsia"/>
          <w:sz w:val="32"/>
          <w:szCs w:val="32"/>
        </w:rPr>
        <w:t>15</w:t>
      </w:r>
      <w:r>
        <w:rPr>
          <w:rFonts w:ascii="Times New Roman" w:eastAsia="仿宋_GB2312" w:hAnsi="Times New Roman" w:hint="eastAsia"/>
          <w:sz w:val="32"/>
          <w:szCs w:val="32"/>
        </w:rPr>
        <w:t>台（套）；单位价值</w:t>
      </w:r>
      <w:r>
        <w:rPr>
          <w:rFonts w:ascii="Times New Roman" w:eastAsia="仿宋_GB2312" w:hAnsi="Times New Roman" w:hint="eastAsia"/>
          <w:sz w:val="32"/>
          <w:szCs w:val="32"/>
        </w:rPr>
        <w:t>100</w:t>
      </w:r>
      <w:r>
        <w:rPr>
          <w:rFonts w:ascii="Times New Roman" w:eastAsia="仿宋_GB2312" w:hAnsi="Times New Roman" w:hint="eastAsia"/>
          <w:sz w:val="32"/>
          <w:szCs w:val="32"/>
        </w:rPr>
        <w:t>万元以上专用设备</w:t>
      </w:r>
      <w:r>
        <w:rPr>
          <w:rFonts w:ascii="Times New Roman" w:eastAsia="仿宋_GB2312" w:hAnsi="Times New Roman" w:hint="eastAsia"/>
          <w:sz w:val="32"/>
          <w:szCs w:val="32"/>
        </w:rPr>
        <w:t>1</w:t>
      </w:r>
      <w:r>
        <w:rPr>
          <w:rFonts w:ascii="Times New Roman" w:eastAsia="仿宋_GB2312" w:hAnsi="Times New Roman" w:hint="eastAsia"/>
          <w:sz w:val="32"/>
          <w:szCs w:val="32"/>
        </w:rPr>
        <w:t>台（套）。</w:t>
      </w:r>
    </w:p>
    <w:p w:rsidR="003C3164" w:rsidRDefault="00526EF3">
      <w:pPr>
        <w:pStyle w:val="Default"/>
        <w:spacing w:line="600" w:lineRule="exact"/>
        <w:ind w:firstLineChars="200" w:firstLine="640"/>
        <w:rPr>
          <w:rFonts w:hAnsi="黑体"/>
          <w:bCs/>
          <w:sz w:val="32"/>
          <w:szCs w:val="32"/>
        </w:rPr>
      </w:pPr>
      <w:r>
        <w:rPr>
          <w:rFonts w:hAnsi="黑体" w:hint="eastAsia"/>
          <w:bCs/>
          <w:sz w:val="32"/>
          <w:szCs w:val="32"/>
        </w:rPr>
        <w:t>十三、关于</w:t>
      </w:r>
      <w:r>
        <w:rPr>
          <w:rFonts w:ascii="Times New Roman" w:eastAsia="仿宋_GB2312" w:hAnsi="Times New Roman" w:hint="eastAsia"/>
          <w:sz w:val="32"/>
          <w:szCs w:val="32"/>
        </w:rPr>
        <w:t>202</w:t>
      </w:r>
      <w:r>
        <w:rPr>
          <w:rFonts w:ascii="Times New Roman" w:eastAsia="仿宋_GB2312" w:hAnsi="Times New Roman" w:hint="eastAsia"/>
          <w:sz w:val="32"/>
          <w:szCs w:val="32"/>
        </w:rPr>
        <w:t>2</w:t>
      </w:r>
      <w:r>
        <w:rPr>
          <w:rFonts w:hAnsi="黑体" w:hint="eastAsia"/>
          <w:bCs/>
          <w:sz w:val="32"/>
          <w:szCs w:val="32"/>
        </w:rPr>
        <w:t>年度预算绩效情况的说明</w:t>
      </w:r>
    </w:p>
    <w:p w:rsidR="003C3164" w:rsidRDefault="00526EF3">
      <w:pPr>
        <w:pStyle w:val="Default"/>
        <w:spacing w:line="60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（一）</w:t>
      </w:r>
      <w:r>
        <w:rPr>
          <w:rFonts w:ascii="楷体" w:eastAsia="楷体" w:hAnsi="楷体" w:cs="楷体" w:hint="eastAsia"/>
          <w:b/>
          <w:bCs/>
          <w:sz w:val="32"/>
          <w:szCs w:val="32"/>
        </w:rPr>
        <w:t>部门整体支出绩效情况</w:t>
      </w:r>
    </w:p>
    <w:p w:rsidR="003C3164" w:rsidRDefault="00526EF3">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根据永州市财政局《关于开展</w:t>
      </w:r>
      <w:r>
        <w:rPr>
          <w:rFonts w:ascii="Times New Roman" w:eastAsia="仿宋_GB2312" w:hAnsi="Times New Roman" w:hint="eastAsia"/>
          <w:sz w:val="32"/>
          <w:szCs w:val="32"/>
        </w:rPr>
        <w:t>2022</w:t>
      </w:r>
      <w:r>
        <w:rPr>
          <w:rFonts w:ascii="Times New Roman" w:eastAsia="仿宋_GB2312" w:hAnsi="Times New Roman" w:hint="eastAsia"/>
          <w:sz w:val="32"/>
          <w:szCs w:val="32"/>
        </w:rPr>
        <w:t>年年度市级预算部门绩效自评工作的通知》</w:t>
      </w:r>
      <w:r>
        <w:rPr>
          <w:rFonts w:ascii="Times New Roman" w:eastAsia="仿宋_GB2312" w:hAnsi="Times New Roman" w:hint="eastAsia"/>
          <w:sz w:val="32"/>
          <w:szCs w:val="32"/>
        </w:rPr>
        <w:t>(</w:t>
      </w:r>
      <w:r>
        <w:rPr>
          <w:rFonts w:ascii="Times New Roman" w:eastAsia="仿宋_GB2312" w:hAnsi="Times New Roman" w:hint="eastAsia"/>
          <w:sz w:val="32"/>
          <w:szCs w:val="32"/>
        </w:rPr>
        <w:t>永财绩〔</w:t>
      </w:r>
      <w:r>
        <w:rPr>
          <w:rFonts w:ascii="Times New Roman" w:eastAsia="仿宋_GB2312" w:hAnsi="Times New Roman" w:hint="eastAsia"/>
          <w:sz w:val="32"/>
          <w:szCs w:val="32"/>
        </w:rPr>
        <w:t>2023</w:t>
      </w: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号</w:t>
      </w:r>
      <w:r>
        <w:rPr>
          <w:rFonts w:ascii="Times New Roman" w:eastAsia="仿宋_GB2312" w:hAnsi="Times New Roman" w:hint="eastAsia"/>
          <w:sz w:val="32"/>
          <w:szCs w:val="32"/>
        </w:rPr>
        <w:t>)</w:t>
      </w:r>
      <w:r>
        <w:rPr>
          <w:rFonts w:ascii="Times New Roman" w:eastAsia="仿宋_GB2312" w:hAnsi="Times New Roman" w:hint="eastAsia"/>
          <w:sz w:val="32"/>
          <w:szCs w:val="32"/>
        </w:rPr>
        <w:t>文件要求</w:t>
      </w:r>
      <w:r>
        <w:rPr>
          <w:rFonts w:ascii="Times New Roman" w:eastAsia="仿宋_GB2312" w:hAnsi="Times New Roman" w:hint="eastAsia"/>
          <w:sz w:val="32"/>
          <w:szCs w:val="32"/>
        </w:rPr>
        <w:t>，我院已完成</w:t>
      </w:r>
      <w:r>
        <w:rPr>
          <w:rFonts w:ascii="Times New Roman" w:eastAsia="仿宋_GB2312" w:hAnsi="Times New Roman" w:hint="eastAsia"/>
          <w:sz w:val="32"/>
          <w:szCs w:val="32"/>
        </w:rPr>
        <w:t>2022</w:t>
      </w:r>
      <w:r>
        <w:rPr>
          <w:rFonts w:ascii="Times New Roman" w:eastAsia="仿宋_GB2312" w:hAnsi="Times New Roman" w:hint="eastAsia"/>
          <w:sz w:val="32"/>
          <w:szCs w:val="32"/>
        </w:rPr>
        <w:t>年度</w:t>
      </w:r>
      <w:r>
        <w:rPr>
          <w:rFonts w:ascii="Times New Roman" w:eastAsia="仿宋_GB2312" w:hAnsi="Times New Roman" w:hint="eastAsia"/>
          <w:sz w:val="32"/>
          <w:szCs w:val="32"/>
        </w:rPr>
        <w:t>部门整体支出绩效自评工作。从评价结果来看，学院</w:t>
      </w:r>
      <w:r>
        <w:rPr>
          <w:rFonts w:ascii="Times New Roman" w:eastAsia="仿宋_GB2312" w:hAnsi="Times New Roman" w:hint="eastAsia"/>
          <w:sz w:val="32"/>
          <w:szCs w:val="32"/>
        </w:rPr>
        <w:t>202</w:t>
      </w:r>
      <w:r>
        <w:rPr>
          <w:rFonts w:ascii="Times New Roman" w:eastAsia="仿宋_GB2312" w:hAnsi="Times New Roman" w:hint="eastAsia"/>
          <w:sz w:val="32"/>
          <w:szCs w:val="32"/>
        </w:rPr>
        <w:t>2</w:t>
      </w:r>
      <w:r>
        <w:rPr>
          <w:rFonts w:ascii="Times New Roman" w:eastAsia="仿宋_GB2312" w:hAnsi="Times New Roman" w:hint="eastAsia"/>
          <w:sz w:val="32"/>
          <w:szCs w:val="32"/>
        </w:rPr>
        <w:t>年度部门整体支出绩效评价得分为</w:t>
      </w:r>
      <w:r>
        <w:rPr>
          <w:rFonts w:ascii="Times New Roman" w:eastAsia="仿宋_GB2312" w:hAnsi="Times New Roman" w:hint="eastAsia"/>
          <w:sz w:val="32"/>
          <w:szCs w:val="32"/>
        </w:rPr>
        <w:t>9</w:t>
      </w:r>
      <w:r>
        <w:rPr>
          <w:rFonts w:ascii="Times New Roman" w:eastAsia="仿宋_GB2312" w:hAnsi="Times New Roman" w:hint="eastAsia"/>
          <w:sz w:val="32"/>
          <w:szCs w:val="32"/>
        </w:rPr>
        <w:t>9</w:t>
      </w:r>
      <w:r>
        <w:rPr>
          <w:rFonts w:ascii="Times New Roman" w:eastAsia="仿宋_GB2312" w:hAnsi="Times New Roman" w:hint="eastAsia"/>
          <w:sz w:val="32"/>
          <w:szCs w:val="32"/>
        </w:rPr>
        <w:t>分，顺利完成了</w:t>
      </w:r>
      <w:r>
        <w:rPr>
          <w:rFonts w:ascii="Times New Roman" w:eastAsia="仿宋_GB2312" w:hAnsi="Times New Roman" w:hint="eastAsia"/>
          <w:sz w:val="32"/>
          <w:szCs w:val="32"/>
        </w:rPr>
        <w:t>2022</w:t>
      </w:r>
      <w:r>
        <w:rPr>
          <w:rFonts w:ascii="Times New Roman" w:eastAsia="仿宋_GB2312" w:hAnsi="Times New Roman" w:hint="eastAsia"/>
          <w:sz w:val="32"/>
          <w:szCs w:val="32"/>
        </w:rPr>
        <w:t>年度部门整体绩效目标。</w:t>
      </w:r>
    </w:p>
    <w:p w:rsidR="003C3164" w:rsidRDefault="00526EF3">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2022</w:t>
      </w:r>
      <w:r>
        <w:rPr>
          <w:rFonts w:ascii="Times New Roman" w:eastAsia="仿宋_GB2312" w:hAnsi="Times New Roman" w:hint="eastAsia"/>
          <w:sz w:val="32"/>
          <w:szCs w:val="32"/>
        </w:rPr>
        <w:t>年度学院以习近平新时代中国特色社会主义思想为指导，深入贯彻党的二十大精</w:t>
      </w:r>
      <w:r>
        <w:rPr>
          <w:rFonts w:ascii="Times New Roman" w:eastAsia="仿宋_GB2312" w:hAnsi="Times New Roman" w:hint="eastAsia"/>
          <w:sz w:val="32"/>
          <w:szCs w:val="32"/>
        </w:rPr>
        <w:t>神，全面贯彻新时代党的教育方针，落实立德树人根本任务，在教育教学、招生就业、学生管理、人才培养等关键环节攻坚克难，在队伍建设、科学研究、社会服务等重要领域守正创新，学院各项事业迈上新台阶、展现新气象、取得新成效。学院坚持正确办学方向，把加快发展现代职业教育摆在更加突出的战略位置，推进产教融合，培养更多的高素质技能人才。学院牢固树立过“紧日子”思想，厉行节约，实施预算绩效管理，禁止无预算或者超预算开支。校园环境更加优美，教育活动更加丰富多彩，招生形势不断向好，学生就业质量不断提升，学生规模不断扩大，得到了学生</w:t>
      </w:r>
      <w:r>
        <w:rPr>
          <w:rFonts w:ascii="Times New Roman" w:eastAsia="仿宋_GB2312" w:hAnsi="Times New Roman" w:hint="eastAsia"/>
          <w:sz w:val="32"/>
          <w:szCs w:val="32"/>
        </w:rPr>
        <w:t>、家长和社会各界的高度认可和广泛赞誉。</w:t>
      </w:r>
    </w:p>
    <w:p w:rsidR="003C3164" w:rsidRDefault="00526EF3">
      <w:pPr>
        <w:pStyle w:val="Default"/>
        <w:spacing w:line="60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（二）</w:t>
      </w:r>
      <w:r>
        <w:rPr>
          <w:rFonts w:ascii="楷体" w:eastAsia="楷体" w:hAnsi="楷体" w:cs="楷体" w:hint="eastAsia"/>
          <w:b/>
          <w:bCs/>
          <w:sz w:val="32"/>
          <w:szCs w:val="32"/>
        </w:rPr>
        <w:t>存在的问题及原因分析</w:t>
      </w:r>
    </w:p>
    <w:p w:rsidR="003C3164" w:rsidRDefault="00526EF3">
      <w:pPr>
        <w:pStyle w:val="Default"/>
        <w:spacing w:line="600" w:lineRule="exact"/>
        <w:ind w:firstLineChars="200" w:firstLine="640"/>
        <w:rPr>
          <w:rFonts w:eastAsia="仿宋_GB2312"/>
          <w:sz w:val="72"/>
          <w:szCs w:val="72"/>
        </w:rPr>
      </w:pPr>
      <w:r>
        <w:rPr>
          <w:rFonts w:ascii="Times New Roman" w:eastAsia="仿宋_GB2312" w:hAnsi="Times New Roman" w:hint="eastAsia"/>
          <w:sz w:val="32"/>
          <w:szCs w:val="32"/>
        </w:rPr>
        <w:t>部分项目资金未及时支出。部分项目资金于</w:t>
      </w:r>
      <w:r>
        <w:rPr>
          <w:rFonts w:ascii="Times New Roman" w:eastAsia="仿宋_GB2312" w:hAnsi="Times New Roman" w:hint="eastAsia"/>
          <w:sz w:val="32"/>
          <w:szCs w:val="32"/>
        </w:rPr>
        <w:t>2022</w:t>
      </w:r>
      <w:r>
        <w:rPr>
          <w:rFonts w:ascii="Times New Roman" w:eastAsia="仿宋_GB2312" w:hAnsi="Times New Roman" w:hint="eastAsia"/>
          <w:sz w:val="32"/>
          <w:szCs w:val="32"/>
        </w:rPr>
        <w:t>年</w:t>
      </w:r>
      <w:r>
        <w:rPr>
          <w:rFonts w:ascii="Times New Roman" w:eastAsia="仿宋_GB2312" w:hAnsi="Times New Roman" w:hint="eastAsia"/>
          <w:sz w:val="32"/>
          <w:szCs w:val="32"/>
        </w:rPr>
        <w:t>12</w:t>
      </w:r>
      <w:r>
        <w:rPr>
          <w:rFonts w:ascii="Times New Roman" w:eastAsia="仿宋_GB2312" w:hAnsi="Times New Roman" w:hint="eastAsia"/>
          <w:sz w:val="32"/>
          <w:szCs w:val="32"/>
        </w:rPr>
        <w:t>月下达，受新冠疫情的影响，</w:t>
      </w:r>
      <w:r>
        <w:rPr>
          <w:rFonts w:ascii="Times New Roman" w:eastAsia="仿宋_GB2312" w:hAnsi="Times New Roman" w:hint="eastAsia"/>
          <w:sz w:val="32"/>
          <w:szCs w:val="32"/>
        </w:rPr>
        <w:t>2022</w:t>
      </w:r>
      <w:r>
        <w:rPr>
          <w:rFonts w:ascii="Times New Roman" w:eastAsia="仿宋_GB2312" w:hAnsi="Times New Roman" w:hint="eastAsia"/>
          <w:sz w:val="32"/>
          <w:szCs w:val="32"/>
        </w:rPr>
        <w:t>年</w:t>
      </w:r>
      <w:r>
        <w:rPr>
          <w:rFonts w:ascii="Times New Roman" w:eastAsia="仿宋_GB2312" w:hAnsi="Times New Roman" w:hint="eastAsia"/>
          <w:sz w:val="32"/>
          <w:szCs w:val="32"/>
        </w:rPr>
        <w:t>12</w:t>
      </w:r>
      <w:r>
        <w:rPr>
          <w:rFonts w:ascii="Times New Roman" w:eastAsia="仿宋_GB2312" w:hAnsi="Times New Roman" w:hint="eastAsia"/>
          <w:sz w:val="32"/>
          <w:szCs w:val="32"/>
        </w:rPr>
        <w:t>月未及时支出，形成</w:t>
      </w:r>
      <w:r>
        <w:rPr>
          <w:rFonts w:ascii="Times New Roman" w:eastAsia="仿宋_GB2312" w:hAnsi="Times New Roman" w:hint="eastAsia"/>
          <w:sz w:val="32"/>
          <w:szCs w:val="32"/>
        </w:rPr>
        <w:t>2022</w:t>
      </w:r>
      <w:r>
        <w:rPr>
          <w:rFonts w:ascii="Times New Roman" w:eastAsia="仿宋_GB2312" w:hAnsi="Times New Roman" w:hint="eastAsia"/>
          <w:sz w:val="32"/>
          <w:szCs w:val="32"/>
        </w:rPr>
        <w:t>年底结转资金。在今后的工作</w:t>
      </w:r>
      <w:r>
        <w:rPr>
          <w:rFonts w:ascii="Times New Roman" w:eastAsia="仿宋_GB2312" w:hAnsi="Times New Roman" w:hint="eastAsia"/>
          <w:sz w:val="32"/>
          <w:szCs w:val="32"/>
        </w:rPr>
        <w:lastRenderedPageBreak/>
        <w:t>中，学院应合理安排资金预算，切实做好专项资金专款专用，根据项目实施进度，合法、合规、及时办理资金支付手续，严格控制结转结余资金规模。</w:t>
      </w:r>
    </w:p>
    <w:p w:rsidR="003C3164" w:rsidRDefault="003C3164">
      <w:pPr>
        <w:pStyle w:val="Default"/>
        <w:jc w:val="center"/>
        <w:rPr>
          <w:sz w:val="72"/>
          <w:szCs w:val="72"/>
        </w:rPr>
      </w:pPr>
    </w:p>
    <w:p w:rsidR="003C3164" w:rsidRDefault="003C3164">
      <w:pPr>
        <w:pStyle w:val="Default"/>
        <w:jc w:val="center"/>
        <w:rPr>
          <w:sz w:val="72"/>
          <w:szCs w:val="72"/>
        </w:rPr>
      </w:pPr>
    </w:p>
    <w:p w:rsidR="003C3164" w:rsidRDefault="003C3164">
      <w:pPr>
        <w:pStyle w:val="Default"/>
        <w:jc w:val="center"/>
        <w:rPr>
          <w:sz w:val="72"/>
          <w:szCs w:val="72"/>
        </w:rPr>
      </w:pPr>
    </w:p>
    <w:p w:rsidR="003C3164" w:rsidRDefault="003C3164">
      <w:pPr>
        <w:pStyle w:val="Default"/>
        <w:jc w:val="center"/>
        <w:rPr>
          <w:sz w:val="72"/>
          <w:szCs w:val="72"/>
        </w:rPr>
      </w:pPr>
    </w:p>
    <w:p w:rsidR="003C3164" w:rsidRDefault="003C3164">
      <w:pPr>
        <w:pStyle w:val="Default"/>
        <w:jc w:val="both"/>
        <w:rPr>
          <w:rFonts w:ascii="方正小标宋_GBK" w:eastAsia="方正小标宋_GBK" w:hAnsi="方正小标宋_GBK" w:cs="方正小标宋_GBK"/>
          <w:sz w:val="72"/>
          <w:szCs w:val="72"/>
        </w:rPr>
      </w:pPr>
    </w:p>
    <w:p w:rsidR="003C3164" w:rsidRDefault="003C3164">
      <w:pPr>
        <w:pStyle w:val="Default"/>
        <w:jc w:val="both"/>
        <w:rPr>
          <w:rFonts w:ascii="方正小标宋_GBK" w:eastAsia="方正小标宋_GBK" w:hAnsi="方正小标宋_GBK" w:cs="方正小标宋_GBK"/>
          <w:sz w:val="72"/>
          <w:szCs w:val="72"/>
        </w:rPr>
      </w:pPr>
    </w:p>
    <w:p w:rsidR="003C3164" w:rsidRDefault="003C3164">
      <w:pPr>
        <w:pStyle w:val="Default"/>
        <w:jc w:val="both"/>
        <w:rPr>
          <w:rFonts w:ascii="方正小标宋_GBK" w:eastAsia="方正小标宋_GBK" w:hAnsi="方正小标宋_GBK" w:cs="方正小标宋_GBK"/>
          <w:sz w:val="72"/>
          <w:szCs w:val="72"/>
        </w:rPr>
      </w:pPr>
    </w:p>
    <w:p w:rsidR="003C3164" w:rsidRDefault="003C3164">
      <w:pPr>
        <w:pStyle w:val="Default"/>
        <w:jc w:val="both"/>
        <w:rPr>
          <w:rFonts w:ascii="方正小标宋_GBK" w:eastAsia="方正小标宋_GBK" w:hAnsi="方正小标宋_GBK" w:cs="方正小标宋_GBK"/>
          <w:sz w:val="72"/>
          <w:szCs w:val="72"/>
        </w:rPr>
      </w:pPr>
    </w:p>
    <w:p w:rsidR="003C3164" w:rsidRDefault="003C3164">
      <w:pPr>
        <w:pStyle w:val="Default"/>
        <w:jc w:val="both"/>
        <w:rPr>
          <w:rFonts w:ascii="方正小标宋_GBK" w:eastAsia="方正小标宋_GBK" w:hAnsi="方正小标宋_GBK" w:cs="方正小标宋_GBK"/>
          <w:sz w:val="72"/>
          <w:szCs w:val="72"/>
        </w:rPr>
      </w:pPr>
    </w:p>
    <w:p w:rsidR="003C3164" w:rsidRDefault="003C3164">
      <w:pPr>
        <w:pStyle w:val="Default"/>
        <w:jc w:val="both"/>
        <w:rPr>
          <w:rFonts w:ascii="方正小标宋_GBK" w:eastAsia="方正小标宋_GBK" w:hAnsi="方正小标宋_GBK" w:cs="方正小标宋_GBK"/>
          <w:sz w:val="72"/>
          <w:szCs w:val="72"/>
        </w:rPr>
      </w:pPr>
    </w:p>
    <w:p w:rsidR="003C3164" w:rsidRDefault="003C3164">
      <w:pPr>
        <w:pStyle w:val="Default"/>
        <w:jc w:val="both"/>
        <w:rPr>
          <w:rFonts w:ascii="方正小标宋_GBK" w:eastAsia="方正小标宋_GBK" w:hAnsi="方正小标宋_GBK" w:cs="方正小标宋_GBK"/>
          <w:sz w:val="72"/>
          <w:szCs w:val="72"/>
        </w:rPr>
      </w:pPr>
    </w:p>
    <w:p w:rsidR="003C3164" w:rsidRDefault="003C3164">
      <w:pPr>
        <w:pStyle w:val="Default"/>
        <w:jc w:val="both"/>
        <w:rPr>
          <w:rFonts w:ascii="方正小标宋_GBK" w:eastAsia="方正小标宋_GBK" w:hAnsi="方正小标宋_GBK" w:cs="方正小标宋_GBK"/>
          <w:sz w:val="72"/>
          <w:szCs w:val="72"/>
        </w:rPr>
      </w:pPr>
    </w:p>
    <w:p w:rsidR="003C3164" w:rsidRDefault="003C3164">
      <w:pPr>
        <w:pStyle w:val="Default"/>
        <w:jc w:val="both"/>
        <w:rPr>
          <w:rFonts w:ascii="方正小标宋_GBK" w:eastAsia="方正小标宋_GBK" w:hAnsi="方正小标宋_GBK" w:cs="方正小标宋_GBK"/>
          <w:sz w:val="72"/>
          <w:szCs w:val="72"/>
        </w:rPr>
      </w:pPr>
    </w:p>
    <w:p w:rsidR="0052181F" w:rsidRDefault="0052181F">
      <w:pPr>
        <w:pStyle w:val="Default"/>
        <w:jc w:val="center"/>
        <w:rPr>
          <w:rFonts w:ascii="方正小标宋_GBK" w:eastAsia="方正小标宋_GBK" w:hAnsi="方正小标宋_GBK" w:cs="方正小标宋_GBK"/>
          <w:sz w:val="84"/>
          <w:szCs w:val="84"/>
        </w:rPr>
      </w:pPr>
    </w:p>
    <w:p w:rsidR="0052181F" w:rsidRDefault="0052181F" w:rsidP="0052181F">
      <w:pPr>
        <w:pStyle w:val="Default"/>
        <w:jc w:val="center"/>
        <w:rPr>
          <w:rFonts w:ascii="方正小标宋_GBK" w:eastAsia="方正小标宋_GBK" w:hAnsi="方正小标宋_GBK" w:cs="方正小标宋_GBK"/>
          <w:sz w:val="84"/>
          <w:szCs w:val="84"/>
        </w:rPr>
      </w:pPr>
    </w:p>
    <w:p w:rsidR="003C3164" w:rsidRDefault="00526EF3" w:rsidP="0052181F">
      <w:pPr>
        <w:pStyle w:val="Default"/>
        <w:jc w:val="center"/>
        <w:rPr>
          <w:rFonts w:ascii="方正小标宋_GBK" w:eastAsia="方正小标宋_GBK" w:hAnsi="方正小标宋_GBK" w:cs="方正小标宋_GBK" w:hint="eastAsia"/>
          <w:sz w:val="84"/>
          <w:szCs w:val="84"/>
        </w:rPr>
      </w:pPr>
      <w:r>
        <w:rPr>
          <w:rFonts w:ascii="方正小标宋_GBK" w:eastAsia="方正小标宋_GBK" w:hAnsi="方正小标宋_GBK" w:cs="方正小标宋_GBK" w:hint="eastAsia"/>
          <w:sz w:val="84"/>
          <w:szCs w:val="84"/>
        </w:rPr>
        <w:t>第四部分</w:t>
      </w:r>
    </w:p>
    <w:p w:rsidR="003C3164" w:rsidRDefault="00526EF3">
      <w:pPr>
        <w:jc w:val="center"/>
        <w:rPr>
          <w:rFonts w:ascii="方正小标宋_GBK" w:eastAsia="方正小标宋_GBK" w:hAnsi="方正小标宋_GBK" w:cs="方正小标宋_GBK"/>
          <w:color w:val="000000"/>
          <w:kern w:val="0"/>
          <w:sz w:val="84"/>
          <w:szCs w:val="84"/>
        </w:rPr>
      </w:pPr>
      <w:r>
        <w:rPr>
          <w:rFonts w:ascii="方正小标宋_GBK" w:eastAsia="方正小标宋_GBK" w:hAnsi="方正小标宋_GBK" w:cs="方正小标宋_GBK" w:hint="eastAsia"/>
          <w:color w:val="000000"/>
          <w:kern w:val="0"/>
          <w:sz w:val="84"/>
          <w:szCs w:val="84"/>
        </w:rPr>
        <w:t>名</w:t>
      </w:r>
      <w:r>
        <w:rPr>
          <w:rFonts w:ascii="方正小标宋_GBK" w:eastAsia="方正小标宋_GBK" w:hAnsi="方正小标宋_GBK" w:cs="方正小标宋_GBK" w:hint="eastAsia"/>
          <w:color w:val="000000"/>
          <w:kern w:val="0"/>
          <w:sz w:val="84"/>
          <w:szCs w:val="84"/>
        </w:rPr>
        <w:t>词解释</w:t>
      </w:r>
    </w:p>
    <w:p w:rsidR="003C3164" w:rsidRDefault="00526EF3">
      <w:pPr>
        <w:widowControl/>
        <w:jc w:val="left"/>
        <w:rPr>
          <w:rFonts w:asciiTheme="minorEastAsia" w:hAnsiTheme="minorEastAsia" w:cs="黑体"/>
          <w:color w:val="000000"/>
          <w:kern w:val="0"/>
          <w:sz w:val="32"/>
          <w:szCs w:val="32"/>
        </w:rPr>
      </w:pPr>
      <w:r>
        <w:rPr>
          <w:rFonts w:ascii="方正小标宋_GBK" w:eastAsia="方正小标宋_GBK" w:hAnsi="方正小标宋_GBK" w:cs="方正小标宋_GBK" w:hint="eastAsia"/>
          <w:color w:val="000000"/>
          <w:kern w:val="0"/>
          <w:sz w:val="70"/>
          <w:szCs w:val="70"/>
        </w:rPr>
        <w:br w:type="page"/>
      </w:r>
    </w:p>
    <w:p w:rsidR="003C3164" w:rsidRDefault="00526EF3">
      <w:pPr>
        <w:widowControl/>
        <w:numPr>
          <w:ilvl w:val="0"/>
          <w:numId w:val="3"/>
        </w:num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财政拨款收入：指财政当年拨付的资金，主要包括一般公共预算财政拨款，政府性基金预算财政拨款，国有资本经营预算财政拨款。</w:t>
      </w:r>
    </w:p>
    <w:p w:rsidR="003C3164" w:rsidRDefault="00526EF3">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二、上级补助收入：指事业单位从主管部门和上级单位取得的非财政补助收入。</w:t>
      </w:r>
      <w:r>
        <w:rPr>
          <w:rFonts w:ascii="仿宋_GB2312" w:eastAsia="仿宋_GB2312" w:hAnsi="仿宋_GB2312" w:cs="仿宋_GB2312" w:hint="eastAsia"/>
          <w:sz w:val="32"/>
          <w:szCs w:val="32"/>
        </w:rPr>
        <w:t xml:space="preserve"> </w:t>
      </w:r>
    </w:p>
    <w:p w:rsidR="003C3164" w:rsidRDefault="00526EF3">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三、事业收入：指事业单位开展专业业务活动及辅助活动所取得的收入。</w:t>
      </w:r>
      <w:r>
        <w:rPr>
          <w:rFonts w:ascii="仿宋_GB2312" w:eastAsia="仿宋_GB2312" w:hAnsi="仿宋_GB2312" w:cs="仿宋_GB2312" w:hint="eastAsia"/>
          <w:sz w:val="32"/>
          <w:szCs w:val="32"/>
        </w:rPr>
        <w:t xml:space="preserve"> </w:t>
      </w:r>
    </w:p>
    <w:p w:rsidR="003C3164" w:rsidRDefault="00526EF3">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四、经营收入：指事业单位在专业业务活动及其辅助活动之外开展非独立核算经营活动取得的收入。</w:t>
      </w:r>
      <w:r>
        <w:rPr>
          <w:rFonts w:ascii="仿宋_GB2312" w:eastAsia="仿宋_GB2312" w:hAnsi="仿宋_GB2312" w:cs="仿宋_GB2312" w:hint="eastAsia"/>
          <w:sz w:val="32"/>
          <w:szCs w:val="32"/>
        </w:rPr>
        <w:t xml:space="preserve"> </w:t>
      </w:r>
    </w:p>
    <w:p w:rsidR="003C3164" w:rsidRDefault="00526EF3">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五、附属单位上缴收入：指事业单位附属独立核算单位按照有关规定上缴的收入。</w:t>
      </w:r>
      <w:r>
        <w:rPr>
          <w:rFonts w:ascii="仿宋_GB2312" w:eastAsia="仿宋_GB2312" w:hAnsi="仿宋_GB2312" w:cs="仿宋_GB2312" w:hint="eastAsia"/>
          <w:sz w:val="32"/>
          <w:szCs w:val="32"/>
        </w:rPr>
        <w:t xml:space="preserve"> </w:t>
      </w:r>
    </w:p>
    <w:p w:rsidR="003C3164" w:rsidRDefault="00526EF3">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六、其他收入：指除上述“财政拨款收入”、“事业收入”、“经营收入”等以外的收入。</w:t>
      </w:r>
      <w:r>
        <w:rPr>
          <w:rFonts w:ascii="仿宋_GB2312" w:eastAsia="仿宋_GB2312" w:hAnsi="仿宋_GB2312" w:cs="仿宋_GB2312" w:hint="eastAsia"/>
          <w:sz w:val="32"/>
          <w:szCs w:val="32"/>
        </w:rPr>
        <w:t xml:space="preserve"> </w:t>
      </w:r>
    </w:p>
    <w:p w:rsidR="003C3164" w:rsidRDefault="00526EF3">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七、基本支出：指为保障机构正常运转、完成日常工作任务而发生的各项支出，包括人员支出和公用支出。</w:t>
      </w:r>
      <w:r>
        <w:rPr>
          <w:rFonts w:ascii="仿宋_GB2312" w:eastAsia="仿宋_GB2312" w:hAnsi="仿宋_GB2312" w:cs="仿宋_GB2312" w:hint="eastAsia"/>
          <w:sz w:val="32"/>
          <w:szCs w:val="32"/>
        </w:rPr>
        <w:t>  </w:t>
      </w:r>
    </w:p>
    <w:p w:rsidR="003C3164" w:rsidRDefault="00526EF3">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八、项目支出：指在基本支出以外为完成相关行政任务和事业发展目标所发生的各项支出。</w:t>
      </w:r>
      <w:r>
        <w:rPr>
          <w:rFonts w:ascii="仿宋_GB2312" w:eastAsia="仿宋_GB2312" w:hAnsi="仿宋_GB2312" w:cs="仿宋_GB2312" w:hint="eastAsia"/>
          <w:sz w:val="32"/>
          <w:szCs w:val="32"/>
        </w:rPr>
        <w:t>  </w:t>
      </w:r>
    </w:p>
    <w:p w:rsidR="003C3164" w:rsidRDefault="00526EF3">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九、“三公”经费：指通过财政拨款资金安排的因公出国（境）费、公务用车购置及运行费和公务接待费支出。</w:t>
      </w:r>
      <w:r>
        <w:rPr>
          <w:rFonts w:ascii="仿宋_GB2312" w:eastAsia="仿宋_GB2312" w:hAnsi="仿宋_GB2312" w:cs="仿宋_GB2312" w:hint="eastAsia"/>
          <w:sz w:val="32"/>
          <w:szCs w:val="32"/>
        </w:rPr>
        <w:t>  </w:t>
      </w:r>
    </w:p>
    <w:p w:rsidR="003C3164" w:rsidRDefault="00526EF3">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rsidR="003C3164" w:rsidRDefault="003C3164">
      <w:pPr>
        <w:pStyle w:val="Default"/>
        <w:spacing w:line="600" w:lineRule="exact"/>
        <w:ind w:firstLineChars="200" w:firstLine="643"/>
        <w:rPr>
          <w:rFonts w:ascii="Times New Roman" w:eastAsia="仿宋_GB2312" w:hAnsi="Times New Roman"/>
          <w:b/>
          <w:bCs/>
          <w:color w:val="FF0000"/>
          <w:sz w:val="32"/>
          <w:szCs w:val="32"/>
        </w:rPr>
      </w:pPr>
    </w:p>
    <w:p w:rsidR="003C3164" w:rsidRDefault="003C3164">
      <w:pPr>
        <w:pStyle w:val="Default"/>
        <w:spacing w:line="600" w:lineRule="exact"/>
        <w:ind w:firstLineChars="200" w:firstLine="643"/>
        <w:rPr>
          <w:rFonts w:ascii="Times New Roman" w:eastAsia="仿宋_GB2312" w:hAnsi="Times New Roman"/>
          <w:b/>
          <w:bCs/>
          <w:color w:val="FF0000"/>
          <w:sz w:val="32"/>
          <w:szCs w:val="32"/>
        </w:rPr>
      </w:pPr>
    </w:p>
    <w:p w:rsidR="003C3164" w:rsidRDefault="003C3164">
      <w:pPr>
        <w:pStyle w:val="Default"/>
        <w:spacing w:line="600" w:lineRule="exact"/>
        <w:ind w:firstLineChars="200" w:firstLine="723"/>
        <w:rPr>
          <w:rFonts w:ascii="Times New Roman" w:eastAsia="仿宋_GB2312" w:hAnsi="Times New Roman"/>
          <w:b/>
          <w:bCs/>
          <w:color w:val="FF0000"/>
          <w:sz w:val="36"/>
          <w:szCs w:val="36"/>
        </w:rPr>
      </w:pPr>
    </w:p>
    <w:p w:rsidR="003C3164" w:rsidRDefault="003C3164">
      <w:pPr>
        <w:pStyle w:val="Default"/>
        <w:spacing w:line="600" w:lineRule="exact"/>
        <w:ind w:firstLineChars="200" w:firstLine="723"/>
        <w:rPr>
          <w:rFonts w:ascii="Times New Roman" w:eastAsia="仿宋_GB2312" w:hAnsi="Times New Roman"/>
          <w:b/>
          <w:bCs/>
          <w:color w:val="FF0000"/>
          <w:sz w:val="36"/>
          <w:szCs w:val="36"/>
        </w:rPr>
      </w:pPr>
    </w:p>
    <w:p w:rsidR="003C3164" w:rsidRDefault="003C3164">
      <w:pPr>
        <w:pStyle w:val="Default"/>
        <w:spacing w:line="600" w:lineRule="exact"/>
        <w:rPr>
          <w:rFonts w:ascii="Times New Roman" w:eastAsia="仿宋_GB2312" w:hAnsi="Times New Roman"/>
          <w:b/>
          <w:bCs/>
          <w:color w:val="FF0000"/>
          <w:sz w:val="36"/>
          <w:szCs w:val="36"/>
        </w:rPr>
      </w:pPr>
    </w:p>
    <w:sectPr w:rsidR="003C3164">
      <w:pgSz w:w="11906" w:h="16838"/>
      <w:pgMar w:top="720" w:right="720" w:bottom="720" w:left="720"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panose1 w:val="02000000000000000000"/>
    <w:charset w:val="86"/>
    <w:family w:val="auto"/>
    <w:pitch w:val="variable"/>
    <w:sig w:usb0="A00002BF" w:usb1="38CF7CFA" w:usb2="00082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CCF7989"/>
    <w:multiLevelType w:val="singleLevel"/>
    <w:tmpl w:val="ACCF7989"/>
    <w:lvl w:ilvl="0">
      <w:start w:val="3"/>
      <w:numFmt w:val="decimal"/>
      <w:suff w:val="nothing"/>
      <w:lvlText w:val="%1、"/>
      <w:lvlJc w:val="left"/>
    </w:lvl>
  </w:abstractNum>
  <w:abstractNum w:abstractNumId="1" w15:restartNumberingAfterBreak="0">
    <w:nsid w:val="D9E3DA24"/>
    <w:multiLevelType w:val="singleLevel"/>
    <w:tmpl w:val="D9E3DA24"/>
    <w:lvl w:ilvl="0">
      <w:start w:val="1"/>
      <w:numFmt w:val="chineseCounting"/>
      <w:suff w:val="nothing"/>
      <w:lvlText w:val="%1、"/>
      <w:lvlJc w:val="left"/>
      <w:rPr>
        <w:rFonts w:hint="eastAsia"/>
      </w:rPr>
    </w:lvl>
  </w:abstractNum>
  <w:abstractNum w:abstractNumId="2" w15:restartNumberingAfterBreak="0">
    <w:nsid w:val="EFB36017"/>
    <w:multiLevelType w:val="singleLevel"/>
    <w:tmpl w:val="EFB36017"/>
    <w:lvl w:ilvl="0">
      <w:start w:val="7"/>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mYWUyMGM4NzM1ODkwOWU1N2JmNzQwNjlmMzhlMjgifQ=="/>
  </w:docVars>
  <w:rsids>
    <w:rsidRoot w:val="004506F9"/>
    <w:rsid w:val="CBFF70E0"/>
    <w:rsid w:val="DF7D924B"/>
    <w:rsid w:val="EAF719E4"/>
    <w:rsid w:val="EEABED75"/>
    <w:rsid w:val="FB36E1A6"/>
    <w:rsid w:val="FDF56CAA"/>
    <w:rsid w:val="FFFF1C8B"/>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3164"/>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181F"/>
    <w:rsid w:val="00523644"/>
    <w:rsid w:val="00526EF3"/>
    <w:rsid w:val="0054069E"/>
    <w:rsid w:val="00544866"/>
    <w:rsid w:val="005767CC"/>
    <w:rsid w:val="00590D9F"/>
    <w:rsid w:val="00595D26"/>
    <w:rsid w:val="005A74E6"/>
    <w:rsid w:val="005B404E"/>
    <w:rsid w:val="005C4D2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0453A"/>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1B86"/>
    <w:rsid w:val="00FE328A"/>
    <w:rsid w:val="00FE6269"/>
    <w:rsid w:val="00FF5CD6"/>
    <w:rsid w:val="011E0E2D"/>
    <w:rsid w:val="028B18FB"/>
    <w:rsid w:val="0357709F"/>
    <w:rsid w:val="047B04DC"/>
    <w:rsid w:val="082067B9"/>
    <w:rsid w:val="0BEE7CFD"/>
    <w:rsid w:val="0D0E4C2E"/>
    <w:rsid w:val="0D6A12B9"/>
    <w:rsid w:val="0D6F3D3F"/>
    <w:rsid w:val="0DE10621"/>
    <w:rsid w:val="0EE15BCF"/>
    <w:rsid w:val="14D964F6"/>
    <w:rsid w:val="16FB7986"/>
    <w:rsid w:val="180104F6"/>
    <w:rsid w:val="18AD22E9"/>
    <w:rsid w:val="19FB22BA"/>
    <w:rsid w:val="1A0E3AB4"/>
    <w:rsid w:val="1A6459A3"/>
    <w:rsid w:val="1C1D16E5"/>
    <w:rsid w:val="1E0D658A"/>
    <w:rsid w:val="1E9829D2"/>
    <w:rsid w:val="1F775289"/>
    <w:rsid w:val="1FE46332"/>
    <w:rsid w:val="20910455"/>
    <w:rsid w:val="20FE42E8"/>
    <w:rsid w:val="24341E7B"/>
    <w:rsid w:val="245D1763"/>
    <w:rsid w:val="272A0E33"/>
    <w:rsid w:val="283536C5"/>
    <w:rsid w:val="29342D4E"/>
    <w:rsid w:val="299E13CD"/>
    <w:rsid w:val="29F70417"/>
    <w:rsid w:val="2AA65660"/>
    <w:rsid w:val="2BC37F28"/>
    <w:rsid w:val="2C292809"/>
    <w:rsid w:val="2F8F14EA"/>
    <w:rsid w:val="2FDB53C0"/>
    <w:rsid w:val="306F313A"/>
    <w:rsid w:val="3075085F"/>
    <w:rsid w:val="319E0088"/>
    <w:rsid w:val="33B620A6"/>
    <w:rsid w:val="33CF10FE"/>
    <w:rsid w:val="33DC2C27"/>
    <w:rsid w:val="3425795C"/>
    <w:rsid w:val="34313801"/>
    <w:rsid w:val="34642FEB"/>
    <w:rsid w:val="351E0FBF"/>
    <w:rsid w:val="38BE762D"/>
    <w:rsid w:val="3A263E74"/>
    <w:rsid w:val="3AFC4F2B"/>
    <w:rsid w:val="3BF85BD3"/>
    <w:rsid w:val="3D792D3C"/>
    <w:rsid w:val="3DA86A75"/>
    <w:rsid w:val="3DBB7565"/>
    <w:rsid w:val="3ED862C8"/>
    <w:rsid w:val="3FF23C7A"/>
    <w:rsid w:val="43CD4BC8"/>
    <w:rsid w:val="442C432A"/>
    <w:rsid w:val="45101210"/>
    <w:rsid w:val="45B719E4"/>
    <w:rsid w:val="48032022"/>
    <w:rsid w:val="4B02564D"/>
    <w:rsid w:val="4B0A348D"/>
    <w:rsid w:val="4B183DBB"/>
    <w:rsid w:val="4B2238C4"/>
    <w:rsid w:val="4E182C27"/>
    <w:rsid w:val="50082ED2"/>
    <w:rsid w:val="51F4457F"/>
    <w:rsid w:val="52374280"/>
    <w:rsid w:val="52844D80"/>
    <w:rsid w:val="52CB6777"/>
    <w:rsid w:val="53AC1753"/>
    <w:rsid w:val="548E6083"/>
    <w:rsid w:val="562B39E8"/>
    <w:rsid w:val="5777D4F5"/>
    <w:rsid w:val="58044B5D"/>
    <w:rsid w:val="589570CB"/>
    <w:rsid w:val="59050AFF"/>
    <w:rsid w:val="59FD5A9E"/>
    <w:rsid w:val="5C6507D2"/>
    <w:rsid w:val="5EBD5B0D"/>
    <w:rsid w:val="5F390735"/>
    <w:rsid w:val="5FC6BB1E"/>
    <w:rsid w:val="5FF720F1"/>
    <w:rsid w:val="608D6D58"/>
    <w:rsid w:val="623103B6"/>
    <w:rsid w:val="63D343B5"/>
    <w:rsid w:val="65B04F76"/>
    <w:rsid w:val="66A933C3"/>
    <w:rsid w:val="67F178E9"/>
    <w:rsid w:val="68C87588"/>
    <w:rsid w:val="696D7EDF"/>
    <w:rsid w:val="69EF74CE"/>
    <w:rsid w:val="6A905F45"/>
    <w:rsid w:val="6F63574B"/>
    <w:rsid w:val="714A4C4F"/>
    <w:rsid w:val="71931FAF"/>
    <w:rsid w:val="72195CC6"/>
    <w:rsid w:val="733A1083"/>
    <w:rsid w:val="737D59BA"/>
    <w:rsid w:val="74B754A9"/>
    <w:rsid w:val="74DD43BC"/>
    <w:rsid w:val="75461F61"/>
    <w:rsid w:val="774A39C7"/>
    <w:rsid w:val="77C37683"/>
    <w:rsid w:val="790A75BD"/>
    <w:rsid w:val="79FF515B"/>
    <w:rsid w:val="7A0A6111"/>
    <w:rsid w:val="7A6301DE"/>
    <w:rsid w:val="7B275BDA"/>
    <w:rsid w:val="7E9F11B4"/>
    <w:rsid w:val="7FC69637"/>
    <w:rsid w:val="7FFDB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17F8C"/>
  <w15:docId w15:val="{036D9C5E-B659-4453-BD63-40C0EA711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qFormat="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index 5"/>
    <w:basedOn w:val="a"/>
    <w:next w:val="a"/>
    <w:uiPriority w:val="99"/>
    <w:semiHidden/>
    <w:qFormat/>
    <w:pPr>
      <w:ind w:left="1680"/>
    </w:pPr>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9">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15</Pages>
  <Words>882</Words>
  <Characters>5034</Characters>
  <Application>Microsoft Office Word</Application>
  <DocSecurity>0</DocSecurity>
  <Lines>41</Lines>
  <Paragraphs>11</Paragraphs>
  <ScaleCrop>false</ScaleCrop>
  <Company>Microsoft</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cp:lastModifiedBy>
  <cp:revision>70</cp:revision>
  <cp:lastPrinted>2023-09-15T16:41:00Z</cp:lastPrinted>
  <dcterms:created xsi:type="dcterms:W3CDTF">2020-07-05T18:32:00Z</dcterms:created>
  <dcterms:modified xsi:type="dcterms:W3CDTF">2023-09-22T13:34:00Z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39B453BBF4D940FA9EAAB88F97720180_12</vt:lpwstr>
  </property>
</Properties>
</file>